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39643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2AE19E" wp14:editId="7A1E2B82">
            <wp:extent cx="758825" cy="914400"/>
            <wp:effectExtent l="0" t="0" r="3175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3FD4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566C8AFF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14:paraId="1D1D3E18" w14:textId="77777777"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14:paraId="05E3CFF3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0FAD5DB8" w14:textId="77777777"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8E60A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14:paraId="08F1176A" w14:textId="77777777" w:rsidR="008E60A6" w:rsidRPr="008E60A6" w:rsidRDefault="008E60A6" w:rsidP="001B40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1C007F" w14:textId="6D5BD247" w:rsidR="008E60A6" w:rsidRPr="008E60A6" w:rsidRDefault="009D5DAB" w:rsidP="001B40A7">
      <w:pPr>
        <w:rPr>
          <w:rFonts w:ascii="Times New Roman" w:eastAsia="Calibri" w:hAnsi="Times New Roman" w:cs="Times New Roman"/>
          <w:b/>
          <w:sz w:val="28"/>
        </w:rPr>
      </w:pPr>
      <w:r w:rsidRPr="00A85028">
        <w:rPr>
          <w:rFonts w:ascii="Times New Roman" w:eastAsia="Calibri" w:hAnsi="Times New Roman" w:cs="Times New Roman"/>
          <w:sz w:val="28"/>
        </w:rPr>
        <w:t>От</w:t>
      </w:r>
      <w:r w:rsidR="005A6E03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5D16C1">
        <w:rPr>
          <w:rFonts w:ascii="Times New Roman" w:eastAsia="Calibri" w:hAnsi="Times New Roman" w:cs="Times New Roman"/>
          <w:sz w:val="28"/>
        </w:rPr>
        <w:t>24.01.</w:t>
      </w:r>
      <w:r w:rsidR="00A85028" w:rsidRPr="00A85028">
        <w:rPr>
          <w:rFonts w:ascii="Times New Roman" w:eastAsia="Calibri" w:hAnsi="Times New Roman" w:cs="Times New Roman"/>
          <w:sz w:val="28"/>
        </w:rPr>
        <w:t>202</w:t>
      </w:r>
      <w:r w:rsidR="00D1317E">
        <w:rPr>
          <w:rFonts w:ascii="Times New Roman" w:eastAsia="Calibri" w:hAnsi="Times New Roman" w:cs="Times New Roman"/>
          <w:sz w:val="28"/>
        </w:rPr>
        <w:t>3</w:t>
      </w:r>
      <w:r w:rsidR="00A85028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CA56AB" w:rsidRPr="00A85028">
        <w:rPr>
          <w:rFonts w:ascii="Times New Roman" w:eastAsia="Calibri" w:hAnsi="Times New Roman" w:cs="Times New Roman"/>
          <w:sz w:val="28"/>
        </w:rPr>
        <w:t>г.</w:t>
      </w:r>
      <w:r w:rsidRPr="00A85028">
        <w:rPr>
          <w:rFonts w:ascii="Times New Roman" w:eastAsia="Calibri" w:hAnsi="Times New Roman" w:cs="Times New Roman"/>
          <w:sz w:val="28"/>
        </w:rPr>
        <w:tab/>
        <w:t xml:space="preserve">  № </w:t>
      </w:r>
      <w:r w:rsidR="00E87678">
        <w:rPr>
          <w:rFonts w:ascii="Times New Roman" w:eastAsia="Calibri" w:hAnsi="Times New Roman" w:cs="Times New Roman"/>
          <w:sz w:val="28"/>
        </w:rPr>
        <w:t>26</w:t>
      </w:r>
    </w:p>
    <w:p w14:paraId="614BCA72" w14:textId="77777777" w:rsidR="008E60A6" w:rsidRPr="008E60A6" w:rsidRDefault="008E60A6" w:rsidP="001B40A7">
      <w:pPr>
        <w:spacing w:after="0" w:line="240" w:lineRule="auto"/>
        <w:ind w:right="2975"/>
        <w:rPr>
          <w:rFonts w:ascii="Times New Roman" w:eastAsia="Calibri" w:hAnsi="Times New Roman" w:cs="Times New Roman"/>
          <w:b/>
          <w:sz w:val="28"/>
          <w:szCs w:val="24"/>
        </w:rPr>
      </w:pPr>
      <w:r w:rsidRPr="008E60A6"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14:paraId="33A26E1A" w14:textId="5D2AA1E7" w:rsidR="008E60A6" w:rsidRPr="008E60A6" w:rsidRDefault="008E60A6" w:rsidP="001B40A7">
      <w:pPr>
        <w:spacing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Турковского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>района» на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E41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E41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7966AA7E" w14:textId="77777777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Турковского муниципального района администрация Турковского муниципального </w:t>
      </w:r>
      <w:r w:rsidR="001B40A7" w:rsidRPr="008E60A6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Pr="008E60A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A795D0" w14:textId="776D124E"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>1.</w:t>
      </w:r>
      <w:r w:rsidR="00870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Турковског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о муницип</w:t>
      </w:r>
      <w:r w:rsidR="009203F6">
        <w:rPr>
          <w:rFonts w:ascii="Times New Roman" w:eastAsia="Times New Roman" w:hAnsi="Times New Roman" w:cs="Times New Roman"/>
          <w:sz w:val="28"/>
          <w:szCs w:val="28"/>
        </w:rPr>
        <w:t>ального района» на 202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0A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6F1370A4" w14:textId="25C193BF" w:rsidR="008E60A6" w:rsidRPr="008E60A6" w:rsidRDefault="00FC1D7B" w:rsidP="009E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E60A6" w:rsidRPr="008E60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14:paraId="57D53CD0" w14:textId="77777777" w:rsidR="008E60A6" w:rsidRPr="008E60A6" w:rsidRDefault="008E60A6" w:rsidP="001B40A7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14:paraId="2A8ACD82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11F77F6F" w14:textId="77777777"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14:paraId="5EE08011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14:paraId="659DF599" w14:textId="779DD566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409A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E60A6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14:paraId="77E3DE39" w14:textId="77777777"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682296" w14:textId="77777777" w:rsidR="00870C15" w:rsidRDefault="00870C15" w:rsidP="008E60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70C15" w:rsidSect="000C1E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124D7272" w14:textId="1045EEA1" w:rsidR="007537D3" w:rsidRDefault="007537D3" w:rsidP="001B40A7">
      <w:pPr>
        <w:pStyle w:val="a6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B40A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0A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AB"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E41BBE">
        <w:rPr>
          <w:rFonts w:ascii="Times New Roman" w:eastAsia="Times New Roman" w:hAnsi="Times New Roman" w:cs="Times New Roman"/>
          <w:sz w:val="28"/>
          <w:szCs w:val="28"/>
        </w:rPr>
        <w:t xml:space="preserve"> 24.01</w:t>
      </w:r>
      <w:bookmarkStart w:id="0" w:name="_GoBack"/>
      <w:bookmarkEnd w:id="0"/>
      <w:r w:rsidR="00CA56A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131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E87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E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87678">
        <w:rPr>
          <w:rFonts w:ascii="Times New Roman" w:eastAsia="Times New Roman" w:hAnsi="Times New Roman" w:cs="Times New Roman"/>
          <w:sz w:val="28"/>
          <w:szCs w:val="28"/>
        </w:rPr>
        <w:t>26</w:t>
      </w:r>
    </w:p>
    <w:p w14:paraId="3DAA5982" w14:textId="77777777" w:rsidR="00AE41F8" w:rsidRPr="001B40A7" w:rsidRDefault="00AE41F8" w:rsidP="001B40A7">
      <w:pPr>
        <w:pStyle w:val="a6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C3357" w14:textId="77777777" w:rsidR="001B40A7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1B4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BA65B9" w14:textId="52A2833D" w:rsidR="00031A03" w:rsidRPr="00031A03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AE41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E41F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8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72E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7D8728F4" w14:textId="77777777" w:rsidR="00544306" w:rsidRDefault="00544306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DD513B" w14:textId="2A3728D0" w:rsidR="00031A03" w:rsidRPr="00031A03" w:rsidRDefault="001336A4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7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37"/>
        <w:gridCol w:w="1590"/>
        <w:gridCol w:w="2160"/>
        <w:gridCol w:w="2023"/>
      </w:tblGrid>
      <w:tr w:rsidR="00031A03" w:rsidRPr="001B40A7" w14:paraId="574A7D69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B58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82ED" w14:textId="76428106" w:rsidR="00031A03" w:rsidRPr="001B40A7" w:rsidRDefault="00031A03" w:rsidP="00AE41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Турковског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о муниципального района» на 202</w:t>
            </w:r>
            <w:r w:rsidR="00AE41F8">
              <w:rPr>
                <w:rFonts w:ascii="Times New Roman" w:hAnsi="Times New Roman"/>
                <w:sz w:val="28"/>
                <w:szCs w:val="28"/>
              </w:rPr>
              <w:t>3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AE41F8">
              <w:rPr>
                <w:rFonts w:ascii="Times New Roman" w:hAnsi="Times New Roman"/>
                <w:sz w:val="28"/>
                <w:szCs w:val="28"/>
              </w:rPr>
              <w:t>5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031A03" w:rsidRPr="001B40A7" w14:paraId="3C9ECB8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11A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9B0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4CB50F2D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90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67B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65C1CB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05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34D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14:paraId="2E9E43D2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6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6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>является поддержка и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      </w:r>
          </w:p>
          <w:p w14:paraId="55D5AB02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pacing w:val="2"/>
                <w:sz w:val="28"/>
                <w:szCs w:val="28"/>
              </w:rPr>
              <w:t>Достижение цели возможно посредством решения следующих задач:</w:t>
            </w:r>
          </w:p>
          <w:p w14:paraId="010E498A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развитие механизмов финансовой, имущественной, информационной, консультационной поддержки НКО;</w:t>
            </w:r>
          </w:p>
          <w:p w14:paraId="1C27F67F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постоянно действующей системы взаимодействия органов местного самоуправления и населения;</w:t>
            </w:r>
          </w:p>
          <w:p w14:paraId="442824EE" w14:textId="77777777"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      </w:r>
          </w:p>
          <w:p w14:paraId="531D85AE" w14:textId="77777777" w:rsidR="00031A03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поощрение и стимулирование благотворительной деятельности и добровольческого движения в муниципальном районе.</w:t>
            </w:r>
          </w:p>
        </w:tc>
      </w:tr>
      <w:tr w:rsidR="00031A03" w:rsidRPr="001B40A7" w14:paraId="1E69B978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071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7A9" w14:textId="4C64FB40" w:rsidR="00031A03" w:rsidRPr="001B40A7" w:rsidRDefault="00225E41" w:rsidP="00AE41F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202</w:t>
            </w:r>
            <w:r w:rsidR="00AE41F8">
              <w:rPr>
                <w:rFonts w:ascii="Times New Roman" w:hAnsi="Times New Roman"/>
                <w:sz w:val="28"/>
                <w:szCs w:val="28"/>
              </w:rPr>
              <w:t>3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AE41F8">
              <w:rPr>
                <w:rFonts w:ascii="Times New Roman" w:hAnsi="Times New Roman"/>
                <w:sz w:val="28"/>
                <w:szCs w:val="28"/>
              </w:rPr>
              <w:t>5</w:t>
            </w:r>
            <w:r w:rsidR="00F84D75"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62433" w:rsidRPr="001B40A7" w14:paraId="5A0AE3C4" w14:textId="77777777" w:rsidTr="00462433">
        <w:trPr>
          <w:trHeight w:val="3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8D0AD" w14:textId="37ED87B9" w:rsidR="00462433" w:rsidRPr="001B40A7" w:rsidRDefault="0046243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16" w14:textId="78535ED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расходы (тыс. руб.)</w:t>
            </w:r>
          </w:p>
        </w:tc>
      </w:tr>
      <w:tr w:rsidR="00462433" w:rsidRPr="001B40A7" w14:paraId="51713062" w14:textId="119ECB59" w:rsidTr="00462433">
        <w:trPr>
          <w:trHeight w:val="105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148" w14:textId="77777777" w:rsidR="00462433" w:rsidRPr="003338BA" w:rsidRDefault="00462433" w:rsidP="00462433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EDB" w14:textId="35D5124D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A63A" w14:textId="177542EC" w:rsidR="00462433" w:rsidRPr="001B40A7" w:rsidRDefault="00462433" w:rsidP="00AE41F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E41F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B8B" w14:textId="5BAA87F5" w:rsidR="00462433" w:rsidRPr="001B40A7" w:rsidRDefault="005A6E03" w:rsidP="00AE41F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E41F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4D7" w14:textId="6FE0F658" w:rsidR="00462433" w:rsidRPr="001B40A7" w:rsidRDefault="00462433" w:rsidP="00AE41F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E41F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462433" w:rsidRPr="001B40A7" w14:paraId="22C55DB0" w14:textId="04A306C1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68D" w14:textId="474F4E35" w:rsidR="00462433" w:rsidRPr="001B40A7" w:rsidRDefault="00462433" w:rsidP="004624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 xml:space="preserve">Бюджет Турковского </w:t>
            </w: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F18" w14:textId="67A5A572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588" w14:textId="0062FE09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412" w14:textId="75F0A024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C03" w14:textId="2B3C7D31"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31A03" w:rsidRPr="001B40A7" w14:paraId="45CB866A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BF4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8D7945" w:rsidRPr="001B40A7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F806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у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населения района исторической памяти;</w:t>
            </w:r>
          </w:p>
          <w:p w14:paraId="3F5CC37D" w14:textId="77777777"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преемственности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поколений;</w:t>
            </w:r>
          </w:p>
          <w:p w14:paraId="64C46CEC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отношение к людям старшего поколения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9383C2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патриотическое воспитание молодёжи, формирование у молодых людей социальной ответственности;</w:t>
            </w:r>
          </w:p>
          <w:p w14:paraId="5C32842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ветеранам консультативных, культурно-досуговых услуг;</w:t>
            </w:r>
          </w:p>
          <w:p w14:paraId="19042AAE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улучшение работы социально ориентированных некоммерческих организаций, осуществляющих свою деятельность на территории Турковского муниципального района по социальной поддержке ветеранов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E60145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      </w:r>
          </w:p>
        </w:tc>
      </w:tr>
      <w:tr w:rsidR="00031A03" w:rsidRPr="001B40A7" w14:paraId="466CECDB" w14:textId="7777777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BE3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40A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2F7" w14:textId="77777777"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</w:tbl>
    <w:p w14:paraId="46FF60D3" w14:textId="77777777" w:rsidR="003338BA" w:rsidRPr="003338BA" w:rsidRDefault="003338BA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C29225" w14:textId="3C672B28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14:paraId="656D5474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14:paraId="2E4DDD21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социально ориентированных некоммерческих организаций на территории Турковского муниципального района.</w:t>
      </w:r>
    </w:p>
    <w:p w14:paraId="7C28FF8B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законом от 6 октября 2003 года №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отнесены к вопросам местного значения.</w:t>
      </w:r>
    </w:p>
    <w:p w14:paraId="4BE07F6A" w14:textId="77777777" w:rsidR="00031A03" w:rsidRPr="00031A03" w:rsidRDefault="001336A4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а территории Турковского му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ниципального района действуют 10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которые ведут работу с различными категориями граждан.</w:t>
      </w:r>
    </w:p>
    <w:p w14:paraId="7E84F286" w14:textId="77777777"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При наличии значительного количества общественных объединений, остается вопрос качества работы НКО. На сегодняшний день их деятельность затрагивает крайне узкий круг вопросов социального характера и потенциал гражданских инициатив нельзя назвать реализованным. </w:t>
      </w:r>
    </w:p>
    <w:p w14:paraId="4D5909E5" w14:textId="77777777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Слабыми сторонами развития некоммерческого сектора в муниципальном районе являются: </w:t>
      </w:r>
    </w:p>
    <w:p w14:paraId="6BDD82E9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гражданская активность населения;</w:t>
      </w:r>
    </w:p>
    <w:p w14:paraId="2BF413FD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отдельных видов общественной активности населения;</w:t>
      </w:r>
    </w:p>
    <w:p w14:paraId="4DAFA7C0" w14:textId="77777777"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отсутствие системы эффективного взаимодействия органов местного </w:t>
      </w:r>
      <w:r w:rsidR="006C291A"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и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населения;</w:t>
      </w:r>
    </w:p>
    <w:p w14:paraId="66C35E98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профессиональных и специальных знаний в области делопроизводства у руководителей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</w:t>
      </w:r>
    </w:p>
    <w:p w14:paraId="7010D1FF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ограниченные ресурсы НКО – человеческие, финансовые, технические; </w:t>
      </w:r>
    </w:p>
    <w:p w14:paraId="5055093D" w14:textId="77777777"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района.</w:t>
      </w:r>
    </w:p>
    <w:p w14:paraId="69504EB0" w14:textId="77777777" w:rsidR="00031A03" w:rsidRPr="00031A03" w:rsidRDefault="00031A03" w:rsidP="0003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финансовую, имущественную, информационную и консультативную поддержку инициатив</w:t>
      </w:r>
      <w:r w:rsidR="0090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 организациям. Исходя из  вышеперечисленного, одной их задач органов местного самоуправления должно стать создание условий для развития социально ориентированных некоммерческих организаций. Поэтому целесообразно решать данную проблему программно-целевым методом.</w:t>
      </w:r>
    </w:p>
    <w:p w14:paraId="48E7947F" w14:textId="77777777" w:rsidR="00031A03" w:rsidRPr="00031A03" w:rsidRDefault="00031A03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738AED0" w14:textId="77777777"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Цели и задачи Программы</w:t>
      </w:r>
    </w:p>
    <w:p w14:paraId="54976A3B" w14:textId="2D133792"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</w:r>
    </w:p>
    <w:p w14:paraId="4FD33F43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pacing w:val="2"/>
          <w:sz w:val="28"/>
          <w:szCs w:val="28"/>
        </w:rPr>
        <w:t>Достижение цели возможно посредством решения следующих задач:</w:t>
      </w:r>
    </w:p>
    <w:p w14:paraId="762EC168" w14:textId="77777777" w:rsidR="00031A03" w:rsidRP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развитие механизмов финансовой, имущественной, информационной, консультационной поддержки НКО;</w:t>
      </w:r>
    </w:p>
    <w:p w14:paraId="7ABEAB56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системы взаимодействия органов местного самоуправления и населения;</w:t>
      </w:r>
    </w:p>
    <w:p w14:paraId="7FC00C7B" w14:textId="77777777"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</w:r>
    </w:p>
    <w:p w14:paraId="05ABCFD6" w14:textId="77777777" w:rsid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благотворительной деятельности и добровольческого движения в муниципальном районе.</w:t>
      </w:r>
    </w:p>
    <w:p w14:paraId="2B50EFAD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79CC2" w14:textId="77777777" w:rsidR="00C41BF8" w:rsidRPr="00C41BF8" w:rsidRDefault="008D7945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4.Сроки реализации П</w:t>
      </w:r>
      <w:r w:rsidR="00C41BF8" w:rsidRPr="00C41BF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14:paraId="4E15A14E" w14:textId="77777777"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A1D94" w14:textId="09350B81" w:rsidR="00C41BF8" w:rsidRP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F8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202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AD945B" w14:textId="77777777" w:rsidR="00C41BF8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E211584" w14:textId="77777777" w:rsidR="00C41BF8" w:rsidRPr="00F55F1C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5F1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14:paraId="7643341B" w14:textId="77777777" w:rsidR="00C41BF8" w:rsidRPr="00F55F1C" w:rsidRDefault="00C41BF8" w:rsidP="006C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F1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Турковского муниципального </w:t>
      </w:r>
      <w:r w:rsidR="00127B4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32DC45" w14:textId="77777777" w:rsidR="00C41BF8" w:rsidRDefault="00C41BF8" w:rsidP="006C2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F1C"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F55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B6405" w14:textId="52A56444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AE41F8">
        <w:rPr>
          <w:rFonts w:ascii="Times New Roman" w:hAnsi="Times New Roman" w:cs="Times New Roman"/>
          <w:sz w:val="28"/>
          <w:szCs w:val="28"/>
        </w:rPr>
        <w:t>3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1B28D3BC" w14:textId="7727BDA0"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AE41F8">
        <w:rPr>
          <w:rFonts w:ascii="Times New Roman" w:hAnsi="Times New Roman" w:cs="Times New Roman"/>
          <w:sz w:val="28"/>
          <w:szCs w:val="28"/>
        </w:rPr>
        <w:t>4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59E96A" w14:textId="1403981C" w:rsidR="00E9713F" w:rsidRDefault="00AE41F8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13F">
        <w:rPr>
          <w:rFonts w:ascii="Times New Roman" w:hAnsi="Times New Roman" w:cs="Times New Roman"/>
          <w:sz w:val="28"/>
          <w:szCs w:val="28"/>
        </w:rPr>
        <w:t>–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</w:t>
      </w:r>
      <w:r w:rsidR="00E9713F">
        <w:rPr>
          <w:rFonts w:ascii="Times New Roman" w:hAnsi="Times New Roman" w:cs="Times New Roman"/>
          <w:sz w:val="28"/>
          <w:szCs w:val="28"/>
        </w:rPr>
        <w:t>30,0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713F">
        <w:rPr>
          <w:rFonts w:ascii="Times New Roman" w:hAnsi="Times New Roman" w:cs="Times New Roman"/>
          <w:sz w:val="28"/>
          <w:szCs w:val="28"/>
        </w:rPr>
        <w:t>.</w:t>
      </w:r>
    </w:p>
    <w:p w14:paraId="0C924123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9824D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8B2B7" w14:textId="77777777"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A7F9" w14:textId="77777777" w:rsidR="00377897" w:rsidRPr="00377897" w:rsidRDefault="00377897" w:rsidP="006C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Объемы ассигнований из бюджета Турковского муниципального </w:t>
      </w:r>
      <w:r w:rsidR="00635E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уточнены, исходя из возможностей бюджета Турковского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объективной необходимости.</w:t>
      </w:r>
    </w:p>
    <w:p w14:paraId="623DEB2C" w14:textId="77777777" w:rsidR="00C41BF8" w:rsidRDefault="00C41BF8" w:rsidP="00C4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F084" w14:textId="77777777" w:rsidR="00031A03" w:rsidRPr="00031A03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Критерии эффективности реализации Программы</w:t>
      </w:r>
    </w:p>
    <w:p w14:paraId="06DEE9A0" w14:textId="77777777" w:rsidR="00C41BF8" w:rsidRDefault="00C41BF8" w:rsidP="00031A03">
      <w:pPr>
        <w:tabs>
          <w:tab w:val="left" w:pos="292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5415E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14:paraId="34998D5D" w14:textId="77777777"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ожидается:</w:t>
      </w:r>
    </w:p>
    <w:p w14:paraId="01D0F6F1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числа НКО, имеющих статус юридического лица,</w:t>
      </w:r>
    </w:p>
    <w:p w14:paraId="489E19F9" w14:textId="77777777"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проведенных в Турковском муниципальном районе общественных акций и мероприятий, </w:t>
      </w:r>
    </w:p>
    <w:p w14:paraId="7457358E" w14:textId="77777777" w:rsidR="00031A03" w:rsidRPr="003C5F53" w:rsidRDefault="00031A03" w:rsidP="006C291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объема благотворительной деятельности по </w:t>
      </w:r>
      <w:proofErr w:type="spellStart"/>
      <w:r w:rsidRPr="00031A03">
        <w:rPr>
          <w:rFonts w:ascii="Times New Roman" w:eastAsia="Times New Roman" w:hAnsi="Times New Roman" w:cs="Times New Roman"/>
          <w:sz w:val="28"/>
          <w:szCs w:val="28"/>
        </w:rPr>
        <w:t>Турковскому</w:t>
      </w:r>
      <w:proofErr w:type="spellEnd"/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району.</w:t>
      </w:r>
    </w:p>
    <w:p w14:paraId="50AE8019" w14:textId="77777777" w:rsidR="006C291A" w:rsidRDefault="006C291A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750E21" w14:textId="77777777" w:rsidR="002E043E" w:rsidRDefault="00C41BF8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3E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</w:t>
      </w:r>
      <w:r w:rsidR="00F55F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E043E" w:rsidRPr="002E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28D3F6" w14:textId="3A2E6869" w:rsidR="00FF4F25" w:rsidRPr="00FF4F25" w:rsidRDefault="00FF4F25" w:rsidP="006C29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F25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2ABFA08" w14:textId="6B4B8B38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1.</w:t>
      </w:r>
      <w:r w:rsidR="006C291A" w:rsidRPr="006C291A">
        <w:rPr>
          <w:rFonts w:ascii="Times New Roman" w:hAnsi="Times New Roman" w:cs="Times New Roman"/>
          <w:sz w:val="28"/>
          <w:szCs w:val="28"/>
        </w:rPr>
        <w:t xml:space="preserve"> Сохранение у</w:t>
      </w:r>
      <w:r w:rsidRPr="006C291A">
        <w:rPr>
          <w:rFonts w:ascii="Times New Roman" w:hAnsi="Times New Roman" w:cs="Times New Roman"/>
          <w:sz w:val="28"/>
          <w:szCs w:val="28"/>
        </w:rPr>
        <w:t xml:space="preserve"> населения района исторической памяти;</w:t>
      </w:r>
    </w:p>
    <w:p w14:paraId="6AA3C9EA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2.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6C291A" w:rsidRPr="006C291A">
        <w:rPr>
          <w:rFonts w:ascii="Times New Roman" w:hAnsi="Times New Roman" w:cs="Times New Roman"/>
          <w:sz w:val="28"/>
          <w:szCs w:val="28"/>
        </w:rPr>
        <w:t>Сохранение преемственности</w:t>
      </w:r>
      <w:r w:rsidRPr="006C291A">
        <w:rPr>
          <w:rFonts w:ascii="Times New Roman" w:hAnsi="Times New Roman" w:cs="Times New Roman"/>
          <w:sz w:val="28"/>
          <w:szCs w:val="28"/>
        </w:rPr>
        <w:t xml:space="preserve"> поколений;</w:t>
      </w:r>
    </w:p>
    <w:p w14:paraId="2885FB03" w14:textId="3960BB72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3.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Воспитание уважительного отношение к людям старшего поколения</w:t>
      </w:r>
      <w:r w:rsidR="00FF4F25">
        <w:rPr>
          <w:rFonts w:ascii="Times New Roman" w:hAnsi="Times New Roman" w:cs="Times New Roman"/>
          <w:sz w:val="28"/>
          <w:szCs w:val="28"/>
        </w:rPr>
        <w:t>;</w:t>
      </w:r>
    </w:p>
    <w:p w14:paraId="36FB763C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4.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Патриотическое воспитание молодёжи, формирование у молодых людей социальной ответственности;</w:t>
      </w:r>
    </w:p>
    <w:p w14:paraId="67F3B4F6" w14:textId="77777777"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5.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Создание условий для предоставления ветеранам консультативных, культурно-досуговых услуг;</w:t>
      </w:r>
    </w:p>
    <w:p w14:paraId="0B72210E" w14:textId="77777777" w:rsidR="00F55F1C" w:rsidRDefault="00900B73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6</w:t>
      </w:r>
      <w:r w:rsidR="00F55F1C" w:rsidRPr="006C291A">
        <w:rPr>
          <w:rFonts w:ascii="Times New Roman" w:hAnsi="Times New Roman" w:cs="Times New Roman"/>
          <w:sz w:val="28"/>
          <w:szCs w:val="28"/>
        </w:rPr>
        <w:t>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F55F1C" w:rsidRPr="006C291A">
        <w:rPr>
          <w:rFonts w:ascii="Times New Roman" w:hAnsi="Times New Roman" w:cs="Times New Roman"/>
          <w:sz w:val="28"/>
          <w:szCs w:val="28"/>
        </w:rPr>
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</w:r>
    </w:p>
    <w:p w14:paraId="346AC7D7" w14:textId="77777777" w:rsidR="00C35F5F" w:rsidRPr="006C291A" w:rsidRDefault="00C35F5F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14DF5" w14:textId="77777777" w:rsidR="00F55F1C" w:rsidRPr="00C41BF8" w:rsidRDefault="00C41BF8" w:rsidP="00C41BF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8">
        <w:rPr>
          <w:rFonts w:ascii="Times New Roman" w:hAnsi="Times New Roman" w:cs="Times New Roman"/>
          <w:b/>
          <w:sz w:val="28"/>
          <w:szCs w:val="28"/>
        </w:rPr>
        <w:t>8</w:t>
      </w:r>
      <w:r w:rsidR="00F55F1C" w:rsidRPr="00C41BF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14:paraId="1E989B74" w14:textId="77777777" w:rsidR="00C41BF8" w:rsidRDefault="00C41BF8" w:rsidP="00F55F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076E6" w14:textId="77777777" w:rsidR="00F55F1C" w:rsidRPr="00C35F5F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F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14:paraId="442E3384" w14:textId="77777777" w:rsidR="00F55F1C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Ход реализации Программы контролируется по предоставляемым некоммерческой организацией </w:t>
      </w:r>
      <w:r w:rsidR="00C35F5F" w:rsidRPr="00C35F5F">
        <w:rPr>
          <w:rFonts w:ascii="Times New Roman" w:eastAsia="Times New Roman" w:hAnsi="Times New Roman" w:cs="Times New Roman"/>
          <w:sz w:val="28"/>
          <w:szCs w:val="28"/>
        </w:rPr>
        <w:t>ежеквартальным отчетам</w:t>
      </w:r>
      <w:r w:rsidRPr="00C35F5F">
        <w:rPr>
          <w:rFonts w:ascii="Times New Roman" w:eastAsia="Times New Roman" w:hAnsi="Times New Roman" w:cs="Times New Roman"/>
          <w:sz w:val="28"/>
          <w:szCs w:val="28"/>
        </w:rPr>
        <w:t>. Сведения об исполнении Программы направляются в администрацию Турковского муниципального района.</w:t>
      </w:r>
    </w:p>
    <w:p w14:paraId="3B7B2040" w14:textId="77777777" w:rsidR="00F55F1C" w:rsidRPr="002E043E" w:rsidRDefault="00F55F1C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5F1C" w:rsidRPr="002E043E" w:rsidSect="008409A4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14:paraId="7D911428" w14:textId="446F19AB" w:rsidR="00E12C03" w:rsidRPr="00031A03" w:rsidRDefault="00C35F5F" w:rsidP="00E12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Перечень программных мероприятий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413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4109"/>
        <w:gridCol w:w="2125"/>
        <w:gridCol w:w="2832"/>
        <w:gridCol w:w="856"/>
        <w:gridCol w:w="853"/>
        <w:gridCol w:w="853"/>
        <w:gridCol w:w="3259"/>
      </w:tblGrid>
      <w:tr w:rsidR="00572EA5" w:rsidRPr="00AE41F8" w14:paraId="5A2BB2D9" w14:textId="77777777" w:rsidTr="001226D2">
        <w:trPr>
          <w:trHeight w:val="9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E886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8D413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41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41F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6B7E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4B2AA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0132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14:paraId="7385A20B" w14:textId="77777777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65" w14:textId="50B22921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675A2" w14:textId="42E9D175"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="00BF3626" w:rsidRPr="00AE4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35F5F" w:rsidRPr="00AE41F8" w14:paraId="2DF31CC1" w14:textId="77777777" w:rsidTr="001226D2">
        <w:trPr>
          <w:trHeight w:val="8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175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E6D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06A7E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2EB3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7B70" w14:textId="175DF332" w:rsidR="00C35F5F" w:rsidRPr="00AE41F8" w:rsidRDefault="00C35F5F" w:rsidP="001226D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1226D2" w:rsidRPr="00AE41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A85E8" w14:textId="73DD7262" w:rsidR="00C35F5F" w:rsidRPr="00AE41F8" w:rsidRDefault="00C35F5F" w:rsidP="001226D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1226D2" w:rsidRPr="00AE41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FBF78" w14:textId="140907EA" w:rsidR="00C35F5F" w:rsidRPr="00AE41F8" w:rsidRDefault="00C35F5F" w:rsidP="001226D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1226D2" w:rsidRPr="00AE41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911C2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5F" w:rsidRPr="00AE41F8" w14:paraId="035523F1" w14:textId="77777777" w:rsidTr="001226D2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E3F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15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03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00B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0DA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780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086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B84" w14:textId="77777777"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A5" w:rsidRPr="00AE41F8" w14:paraId="755135B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97FC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AAB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  <w:r w:rsidR="00CC048C" w:rsidRPr="00AE4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B8F39" w14:textId="11AE9926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6B725B71" w14:textId="7FD45495"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2DAFEF19" w14:textId="77A84D92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1D2AE0CF" w14:textId="77777777" w:rsidR="00572EA5" w:rsidRPr="00AE41F8" w:rsidRDefault="00572EA5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2843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B9F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EF6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928" w14:textId="77777777"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0BB0" w14:textId="77777777"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356EBD57" w14:textId="77777777" w:rsidTr="001226D2">
        <w:trPr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6214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716A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воспитание, освещение в СМИ (круглые столы, встречи, проведение праздничных мероприятий, памятных дат, конкурсов.)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FB31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11106630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029454B8" w14:textId="3D2CFBC1" w:rsidR="009203F6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2CF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A5406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3A48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964D" w14:textId="77777777"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10E004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53BF10E9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BC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9FCD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 xml:space="preserve">Оказание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органов местного самоуправления Турковского муниципального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EF6306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  <w:p w14:paraId="75B6BA82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1C417988" w14:textId="7E1E1272" w:rsidR="009203F6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0065E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1D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0C1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FEB" w14:textId="77777777"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21E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48A29AA3" w14:textId="77777777" w:rsidTr="001226D2">
        <w:trPr>
          <w:trHeight w:val="1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455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AFA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Оказание консультативной поддержки социально ориентированным некоммерческим организациям.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BE0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2E824606" w14:textId="77777777"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4F03F5FD" w14:textId="56C5301E" w:rsidR="009203F6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80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5BB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ACF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C46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33AF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14:paraId="1068E514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5CB" w14:textId="77777777"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9C5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048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6B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9BA" w14:textId="77777777"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6F3" w14:textId="77777777"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D2" w:rsidRPr="00AE41F8" w14:paraId="6226C39E" w14:textId="77777777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9DA" w14:textId="77777777" w:rsidR="004C2CD2" w:rsidRPr="00AE41F8" w:rsidRDefault="004C2CD2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2C3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097C" w14:textId="77777777"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</w:tbl>
    <w:p w14:paraId="042B81FB" w14:textId="77777777" w:rsidR="00031A03" w:rsidRPr="00031A03" w:rsidRDefault="00031A03" w:rsidP="00031A03">
      <w:pPr>
        <w:tabs>
          <w:tab w:val="left" w:pos="3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263E26" w14:textId="77777777" w:rsidR="00616ADE" w:rsidRDefault="00616ADE"/>
    <w:sectPr w:rsidR="00616ADE" w:rsidSect="00741A3B">
      <w:pgSz w:w="16838" w:h="11906" w:orient="landscape"/>
      <w:pgMar w:top="851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B01A9"/>
    <w:multiLevelType w:val="hybridMultilevel"/>
    <w:tmpl w:val="BEC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8F8"/>
    <w:multiLevelType w:val="hybridMultilevel"/>
    <w:tmpl w:val="937C93AC"/>
    <w:lvl w:ilvl="0" w:tplc="26362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4A5A"/>
    <w:multiLevelType w:val="hybridMultilevel"/>
    <w:tmpl w:val="AF0A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456FC"/>
    <w:multiLevelType w:val="hybridMultilevel"/>
    <w:tmpl w:val="8222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5"/>
    <w:rsid w:val="00022DFC"/>
    <w:rsid w:val="00031A03"/>
    <w:rsid w:val="00037C45"/>
    <w:rsid w:val="0008080F"/>
    <w:rsid w:val="000C1ED5"/>
    <w:rsid w:val="001006A2"/>
    <w:rsid w:val="001226D2"/>
    <w:rsid w:val="00127B4E"/>
    <w:rsid w:val="001336A4"/>
    <w:rsid w:val="001A0D11"/>
    <w:rsid w:val="001B40A7"/>
    <w:rsid w:val="001F2850"/>
    <w:rsid w:val="00210B38"/>
    <w:rsid w:val="00225E41"/>
    <w:rsid w:val="002E043E"/>
    <w:rsid w:val="0031088B"/>
    <w:rsid w:val="003338BA"/>
    <w:rsid w:val="00350DEA"/>
    <w:rsid w:val="00377897"/>
    <w:rsid w:val="003B2B2E"/>
    <w:rsid w:val="003C5F53"/>
    <w:rsid w:val="003C6089"/>
    <w:rsid w:val="00432848"/>
    <w:rsid w:val="0043761E"/>
    <w:rsid w:val="00445AD7"/>
    <w:rsid w:val="00462433"/>
    <w:rsid w:val="004765A7"/>
    <w:rsid w:val="0049204B"/>
    <w:rsid w:val="004C2CD2"/>
    <w:rsid w:val="00541396"/>
    <w:rsid w:val="00544306"/>
    <w:rsid w:val="00572EA5"/>
    <w:rsid w:val="005A6E03"/>
    <w:rsid w:val="005D16C1"/>
    <w:rsid w:val="00616ADE"/>
    <w:rsid w:val="00635EDF"/>
    <w:rsid w:val="00673E65"/>
    <w:rsid w:val="006C291A"/>
    <w:rsid w:val="006E3287"/>
    <w:rsid w:val="00717BA8"/>
    <w:rsid w:val="00741A3B"/>
    <w:rsid w:val="007501E5"/>
    <w:rsid w:val="007537D3"/>
    <w:rsid w:val="0083751B"/>
    <w:rsid w:val="008409A4"/>
    <w:rsid w:val="00870799"/>
    <w:rsid w:val="008707A2"/>
    <w:rsid w:val="00870C15"/>
    <w:rsid w:val="008A5984"/>
    <w:rsid w:val="008B58AF"/>
    <w:rsid w:val="008D7945"/>
    <w:rsid w:val="008E60A6"/>
    <w:rsid w:val="00900B73"/>
    <w:rsid w:val="009203F6"/>
    <w:rsid w:val="00931AAD"/>
    <w:rsid w:val="009D5DAB"/>
    <w:rsid w:val="009E2488"/>
    <w:rsid w:val="009F1732"/>
    <w:rsid w:val="00A43A1C"/>
    <w:rsid w:val="00A85028"/>
    <w:rsid w:val="00A914EB"/>
    <w:rsid w:val="00AD1E42"/>
    <w:rsid w:val="00AE41F8"/>
    <w:rsid w:val="00AE42D3"/>
    <w:rsid w:val="00BF3626"/>
    <w:rsid w:val="00C35F5F"/>
    <w:rsid w:val="00C41BF8"/>
    <w:rsid w:val="00CA56AB"/>
    <w:rsid w:val="00CC048C"/>
    <w:rsid w:val="00D1317E"/>
    <w:rsid w:val="00D5633F"/>
    <w:rsid w:val="00DB370E"/>
    <w:rsid w:val="00E12C03"/>
    <w:rsid w:val="00E406FD"/>
    <w:rsid w:val="00E41BBE"/>
    <w:rsid w:val="00E87678"/>
    <w:rsid w:val="00E87B47"/>
    <w:rsid w:val="00E9279C"/>
    <w:rsid w:val="00E9713F"/>
    <w:rsid w:val="00EF4D79"/>
    <w:rsid w:val="00F55F1C"/>
    <w:rsid w:val="00F66B63"/>
    <w:rsid w:val="00F84D75"/>
    <w:rsid w:val="00FC1D7B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S9qKWtSToiedYBQYFUM83zr++8SlqOHVgSjY5zJXbME=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/oA5pn6zUIlbKhmvOILu/2B2QfE3s1WMB98mxTmQ9WA=</DigestValue>
    </Reference>
  </SignedInfo>
  <SignatureValue>LMhAxv8n7OmSFB10PlGCXKWoCh21m/HxoXfm7mC8jsS3L9umWh9JhW34ck5zpHPo
MPjNqjv/yIGcT3+32/JEQQ==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rIxKvnabqgbIRYoDau5xw+FKipaRf0L4CuJkNhx0ijE=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W0SAOCtX+3RzMl+8bEr/sTmI4Hwn6RVMcmAId3h49c8=</DigestValue>
      </Reference>
      <Reference URI="/word/media/image1.jpeg?ContentType=image/jpeg">
        <DigestMethod Algorithm="http://www.w3.org/2001/04/xmldsig-more#gostr34112012-256"/>
        <DigestValue>OTkYFkMCNL5hEfqDSJpa5nOyD5MduqlWXn6CYdXRyvA=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8V6366Rjy6G5aGW2PTOEm86FJWrQb+dJAAzIerhI/WA=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YTCeHlhrXGL3A0A5qWqiLf2jI81/70ZOcHc5r1BE29M=</DigestValue>
      </Reference>
      <Reference URI="/word/styles.xml?ContentType=application/vnd.openxmlformats-officedocument.wordprocessingml.styles+xml">
        <DigestMethod Algorithm="http://www.w3.org/2001/04/xmldsig-more#gostr34112012-256"/>
        <DigestValue>HvwGSfT8eJ5oFvHNNRZ4J7dV9HtdaIqppgpqhEYcy90=</DigestValue>
      </Reference>
      <Reference URI="/word/stylesWithEffects.xml?ContentType=application/vnd.ms-word.stylesWithEffects+xml">
        <DigestMethod Algorithm="http://www.w3.org/2001/04/xmldsig-more#gostr34112012-256"/>
        <DigestValue>Fxzk7KVEz5N3ZLv3nK6gAV11zrmWzisjiWvZYrhbcSo=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XDGSv/y/XIl4iicnbD96aKlND4nKCJ2oJzUWLTLF9ts=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2023-02-02T05:18:39Z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2023-02-02T05:18:39Z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4586-A3D1-4871-AAB8-C27E52E1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2023-01-24T11:58:00Z</cp:lastPrinted>
  <dcterms:created xsi:type="dcterms:W3CDTF">2023-01-24T10:45:00Z</dcterms:created>
  <dcterms:modified xsi:type="dcterms:W3CDTF">2023-01-24T12:03:00Z</dcterms:modified>
</cp:coreProperties>
</file>