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bookmarkStart w:id="0" w:name="_GoBack"/>
      <w:bookmarkEnd w:id="0"/>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415DDA" w:rsidRDefault="00A86CD8" w:rsidP="00033E85">
      <w:pPr>
        <w:widowControl w:val="0"/>
        <w:ind w:firstLine="0"/>
        <w:contextualSpacing w:val="0"/>
        <w:jc w:val="left"/>
      </w:pPr>
      <w:r>
        <w:t xml:space="preserve">От </w:t>
      </w:r>
      <w:r w:rsidR="001F7E31">
        <w:t>06</w:t>
      </w:r>
      <w:r w:rsidR="00560346">
        <w:t>.</w:t>
      </w:r>
      <w:r w:rsidR="001F7E31">
        <w:t>12</w:t>
      </w:r>
      <w:r w:rsidR="009C5635">
        <w:t>.</w:t>
      </w:r>
      <w:r w:rsidR="005E6917" w:rsidRPr="005E6917">
        <w:t>20</w:t>
      </w:r>
      <w:r w:rsidR="002B60AF">
        <w:t>2</w:t>
      </w:r>
      <w:r w:rsidR="000B0C10">
        <w:t>3</w:t>
      </w:r>
      <w:r w:rsidR="002B60AF">
        <w:t xml:space="preserve"> </w:t>
      </w:r>
      <w:r w:rsidR="000926C9">
        <w:t xml:space="preserve"> </w:t>
      </w:r>
      <w:r w:rsidR="005E6917" w:rsidRPr="005E6917">
        <w:t xml:space="preserve">г.     </w:t>
      </w:r>
      <w:r w:rsidR="00B73457">
        <w:t xml:space="preserve"> </w:t>
      </w:r>
      <w:r w:rsidR="005E6917" w:rsidRPr="005E6917">
        <w:t>№</w:t>
      </w:r>
      <w:r w:rsidR="009C5635">
        <w:t xml:space="preserve"> </w:t>
      </w:r>
      <w:r w:rsidR="00D719E1">
        <w:t>645</w:t>
      </w:r>
    </w:p>
    <w:p w:rsidR="003950E6" w:rsidRPr="00B74E1C" w:rsidRDefault="003950E6"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1F7E31">
        <w:rPr>
          <w:szCs w:val="28"/>
        </w:rPr>
        <w:t>06</w:t>
      </w:r>
      <w:r w:rsidR="00470470">
        <w:rPr>
          <w:szCs w:val="28"/>
        </w:rPr>
        <w:t>.</w:t>
      </w:r>
      <w:r w:rsidR="001F7E31">
        <w:rPr>
          <w:szCs w:val="28"/>
        </w:rPr>
        <w:t>12</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D719E1">
        <w:t>645</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D719E1">
        <w:trPr>
          <w:trHeight w:hRule="exact" w:val="1701"/>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00D719E1">
              <w:rPr>
                <w:rFonts w:eastAsiaTheme="minorHAnsi"/>
                <w:lang w:eastAsia="en-US"/>
              </w:rPr>
              <w:t xml:space="preserve"> администрации Турковского муниципального района</w:t>
            </w:r>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1F7E31">
        <w:t>06</w:t>
      </w:r>
      <w:r w:rsidR="004B6CAA">
        <w:t>.</w:t>
      </w:r>
      <w:r w:rsidR="001F7E31">
        <w:t>12</w:t>
      </w:r>
      <w:r w:rsidR="00AD1152">
        <w:t>.</w:t>
      </w:r>
      <w:r w:rsidR="000B0C10">
        <w:t>2023</w:t>
      </w:r>
      <w:r w:rsidR="00CE78C1">
        <w:t xml:space="preserve"> г.</w:t>
      </w:r>
      <w:r w:rsidR="00BD3575">
        <w:t xml:space="preserve"> </w:t>
      </w:r>
      <w:r w:rsidR="00CE78C1">
        <w:t>№</w:t>
      </w:r>
      <w:r w:rsidR="00E075C0">
        <w:t xml:space="preserve"> </w:t>
      </w:r>
      <w:r w:rsidR="00D719E1">
        <w:t>645</w:t>
      </w: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746858">
        <w:tc>
          <w:tcPr>
            <w:tcW w:w="3581"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Факс:</w:t>
            </w:r>
          </w:p>
        </w:tc>
        <w:tc>
          <w:tcPr>
            <w:tcW w:w="5989"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746858">
        <w:tc>
          <w:tcPr>
            <w:tcW w:w="3581"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Pr="00B74E1C">
              <w:rPr>
                <w:szCs w:val="28"/>
              </w:rPr>
              <w:t xml:space="preserve"> ЖКХ </w:t>
            </w:r>
            <w:r w:rsidR="00746858">
              <w:rPr>
                <w:szCs w:val="28"/>
              </w:rPr>
              <w:t xml:space="preserve">комитета по градостроительству, ЖКХ и имуществу </w:t>
            </w:r>
            <w:r w:rsidRPr="00B74E1C">
              <w:rPr>
                <w:szCs w:val="28"/>
              </w:rPr>
              <w:t>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Pr="00B74E1C">
              <w:rPr>
                <w:szCs w:val="28"/>
              </w:rPr>
              <w:t xml:space="preserve"> ЖКХ </w:t>
            </w:r>
            <w:r w:rsidR="00746858">
              <w:rPr>
                <w:szCs w:val="28"/>
              </w:rPr>
              <w:t xml:space="preserve">комитета по градостроительству, ЖКХ и имуществу </w:t>
            </w:r>
            <w:r w:rsidRPr="00B74E1C">
              <w:rPr>
                <w:szCs w:val="28"/>
              </w:rPr>
              <w:t>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DD098A" w:rsidRDefault="00DD098A" w:rsidP="00E553AB">
      <w:pPr>
        <w:widowControl w:val="0"/>
        <w:ind w:firstLine="708"/>
        <w:rPr>
          <w:b/>
        </w:rPr>
      </w:pPr>
    </w:p>
    <w:p w:rsidR="00DD098A" w:rsidRDefault="00DD098A" w:rsidP="00E553AB">
      <w:pPr>
        <w:widowControl w:val="0"/>
        <w:ind w:firstLine="708"/>
        <w:rPr>
          <w:b/>
        </w:rPr>
      </w:pPr>
    </w:p>
    <w:p w:rsidR="00E553AB" w:rsidRPr="00B74E1C" w:rsidRDefault="00E553AB" w:rsidP="00E553AB">
      <w:pPr>
        <w:widowControl w:val="0"/>
        <w:ind w:firstLine="708"/>
        <w:rPr>
          <w:b/>
        </w:rPr>
      </w:pPr>
      <w:r w:rsidRPr="00B74E1C">
        <w:rPr>
          <w:b/>
        </w:rPr>
        <w:lastRenderedPageBreak/>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 </w:t>
            </w:r>
            <w:r w:rsidR="001F7E31">
              <w:t>06 декабр</w:t>
            </w:r>
            <w:r w:rsidR="003950E6">
              <w:t>я</w:t>
            </w:r>
            <w:r w:rsidR="00E10791">
              <w:t xml:space="preserve"> </w:t>
            </w:r>
            <w:r w:rsidRPr="00B74E1C">
              <w:t>20</w:t>
            </w:r>
            <w:r w:rsidR="002B60AF">
              <w:t>2</w:t>
            </w:r>
            <w:r w:rsidR="000B0C10">
              <w:t>3</w:t>
            </w:r>
            <w:r w:rsidRPr="00B74E1C">
              <w:t xml:space="preserve"> года.</w:t>
            </w:r>
          </w:p>
          <w:p w:rsidR="00E553AB" w:rsidRPr="00B74E1C" w:rsidRDefault="00E553AB" w:rsidP="001F7E31">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1F7E31">
              <w:rPr>
                <w:bCs/>
              </w:rPr>
              <w:t>09 января</w:t>
            </w:r>
            <w:r w:rsidR="00AE3286">
              <w:rPr>
                <w:bCs/>
              </w:rPr>
              <w:t xml:space="preserve"> 202</w:t>
            </w:r>
            <w:r w:rsidR="001F7E31">
              <w:rPr>
                <w:bCs/>
              </w:rPr>
              <w:t>4</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1F7E31">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 xml:space="preserve"> </w:t>
            </w:r>
            <w:r w:rsidR="001F7E31">
              <w:rPr>
                <w:bCs/>
              </w:rPr>
              <w:t>09 января</w:t>
            </w:r>
            <w:r w:rsidR="00E10791">
              <w:rPr>
                <w:bCs/>
              </w:rPr>
              <w:t xml:space="preserve"> </w:t>
            </w:r>
            <w:r w:rsidR="0021279C">
              <w:rPr>
                <w:bCs/>
              </w:rPr>
              <w:t xml:space="preserve"> </w:t>
            </w:r>
            <w:r w:rsidR="00AE3286">
              <w:rPr>
                <w:bCs/>
              </w:rPr>
              <w:t xml:space="preserve"> 202</w:t>
            </w:r>
            <w:r w:rsidR="001F7E31">
              <w:rPr>
                <w:bCs/>
              </w:rPr>
              <w:t>4</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1F7E31">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1F7E31">
              <w:t>09</w:t>
            </w:r>
            <w:r w:rsidR="000B0C10">
              <w:t xml:space="preserve"> по</w:t>
            </w:r>
            <w:r w:rsidRPr="00B74E1C">
              <w:t xml:space="preserve"> </w:t>
            </w:r>
            <w:r w:rsidR="001F7E31">
              <w:t>10 января</w:t>
            </w:r>
            <w:r w:rsidR="00681F16">
              <w:t xml:space="preserve"> </w:t>
            </w:r>
            <w:r w:rsidR="00D55687">
              <w:t>202</w:t>
            </w:r>
            <w:r w:rsidR="001F7E31">
              <w:t>4</w:t>
            </w:r>
            <w:r w:rsidR="00D55687">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1F7E31">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1F7E31">
              <w:rPr>
                <w:bCs/>
              </w:rPr>
              <w:t>10 января</w:t>
            </w:r>
            <w:r w:rsidR="00522311">
              <w:rPr>
                <w:bCs/>
              </w:rPr>
              <w:t xml:space="preserve"> </w:t>
            </w:r>
            <w:r w:rsidR="00D55687">
              <w:rPr>
                <w:bCs/>
              </w:rPr>
              <w:t xml:space="preserve"> 202</w:t>
            </w:r>
            <w:r w:rsidR="001F7E31">
              <w:rPr>
                <w:bCs/>
              </w:rPr>
              <w:t>4</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w:t>
      </w:r>
      <w:proofErr w:type="gramEnd"/>
      <w:r w:rsidRPr="00B74E1C">
        <w:rPr>
          <w:rFonts w:eastAsia="Calibri"/>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lastRenderedPageBreak/>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w:t>
      </w:r>
      <w:r w:rsidRPr="00B74E1C">
        <w:rPr>
          <w:rFonts w:ascii="Times New Roman" w:hAnsi="Times New Roman" w:cs="Times New Roman"/>
          <w:sz w:val="28"/>
          <w:szCs w:val="28"/>
        </w:rPr>
        <w:lastRenderedPageBreak/>
        <w:t>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 копия лицензии на осуществление деятельности по перевозкам </w:t>
      </w:r>
      <w:r w:rsidRPr="00B74E1C">
        <w:rPr>
          <w:rFonts w:ascii="Times New Roman" w:hAnsi="Times New Roman" w:cs="Times New Roman"/>
          <w:sz w:val="28"/>
          <w:szCs w:val="28"/>
        </w:rPr>
        <w:lastRenderedPageBreak/>
        <w:t>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w:t>
      </w:r>
      <w:r w:rsidRPr="00B74E1C">
        <w:rPr>
          <w:rFonts w:ascii="Times New Roman" w:hAnsi="Times New Roman" w:cs="Times New Roman"/>
          <w:sz w:val="28"/>
          <w:szCs w:val="28"/>
        </w:rPr>
        <w:lastRenderedPageBreak/>
        <w:t xml:space="preserve">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1F7E31">
        <w:rPr>
          <w:bCs/>
          <w:szCs w:val="28"/>
        </w:rPr>
        <w:t>09 января</w:t>
      </w:r>
      <w:r w:rsidR="000B0C10">
        <w:rPr>
          <w:bCs/>
          <w:szCs w:val="28"/>
        </w:rPr>
        <w:t xml:space="preserve"> 202</w:t>
      </w:r>
      <w:r w:rsidR="001F7E31">
        <w:rPr>
          <w:bCs/>
          <w:szCs w:val="28"/>
        </w:rPr>
        <w:t>4</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w:t>
      </w:r>
      <w:proofErr w:type="gramStart"/>
      <w:r w:rsidRPr="00B74E1C">
        <w:rPr>
          <w:rFonts w:ascii="Times New Roman" w:hAnsi="Times New Roman" w:cs="Times New Roman"/>
          <w:bCs/>
          <w:sz w:val="28"/>
          <w:szCs w:val="28"/>
        </w:rPr>
        <w:t>МСК</w:t>
      </w:r>
      <w:proofErr w:type="gramEnd"/>
      <w:r w:rsidRPr="00B74E1C">
        <w:rPr>
          <w:rFonts w:ascii="Times New Roman" w:hAnsi="Times New Roman" w:cs="Times New Roman"/>
          <w:bCs/>
          <w:sz w:val="28"/>
          <w:szCs w:val="28"/>
        </w:rPr>
        <w:t xml:space="preserve">+1,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1F7E31">
        <w:rPr>
          <w:rFonts w:ascii="Times New Roman" w:hAnsi="Times New Roman" w:cs="Times New Roman"/>
          <w:bCs/>
          <w:sz w:val="28"/>
          <w:szCs w:val="28"/>
        </w:rPr>
        <w:t>10 января</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1F7E31">
        <w:rPr>
          <w:rFonts w:ascii="Times New Roman" w:hAnsi="Times New Roman" w:cs="Times New Roman"/>
          <w:sz w:val="28"/>
          <w:szCs w:val="28"/>
        </w:rPr>
        <w:t>4</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lastRenderedPageBreak/>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6.3. Документы, предусмотренные пунктами 6.2.2 – 6.2.7 настоящей конкурсной документации, применяются в отношении каждого участника </w:t>
      </w:r>
      <w:r w:rsidRPr="00B74E1C">
        <w:rPr>
          <w:rFonts w:ascii="Times New Roman" w:hAnsi="Times New Roman" w:cs="Times New Roman"/>
          <w:sz w:val="28"/>
          <w:szCs w:val="28"/>
        </w:rPr>
        <w:lastRenderedPageBreak/>
        <w:t>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w:t>
      </w:r>
      <w:r w:rsidRPr="00B74E1C">
        <w:rPr>
          <w:szCs w:val="28"/>
        </w:rPr>
        <w:lastRenderedPageBreak/>
        <w:t xml:space="preserve">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w:t>
      </w:r>
      <w:r w:rsidRPr="00B74E1C">
        <w:rPr>
          <w:szCs w:val="28"/>
        </w:rPr>
        <w:lastRenderedPageBreak/>
        <w:t>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lastRenderedPageBreak/>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 xml:space="preserve">9.6. </w:t>
      </w:r>
      <w:proofErr w:type="gramStart"/>
      <w:r w:rsidRPr="00B74E1C">
        <w:rPr>
          <w:szCs w:val="28"/>
        </w:rPr>
        <w:t>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roofErr w:type="gramEnd"/>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lastRenderedPageBreak/>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w:t>
      </w:r>
      <w:r w:rsidRPr="00B74E1C">
        <w:rPr>
          <w:szCs w:val="28"/>
        </w:rPr>
        <w:lastRenderedPageBreak/>
        <w:t xml:space="preserve">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 xml:space="preserve">11.6. Организатор открытого конкурса обязан осуществлять аудио- или видеозапись проведения конкурсной комиссией процедуры оценки и </w:t>
      </w:r>
      <w:r w:rsidRPr="00B74E1C">
        <w:rPr>
          <w:szCs w:val="28"/>
        </w:rPr>
        <w:lastRenderedPageBreak/>
        <w:t>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DD098A">
      <w:pgSz w:w="11906" w:h="16838"/>
      <w:pgMar w:top="568"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28" w:rsidRDefault="009B7228" w:rsidP="00E553AB">
      <w:r>
        <w:separator/>
      </w:r>
    </w:p>
  </w:endnote>
  <w:endnote w:type="continuationSeparator" w:id="0">
    <w:p w:rsidR="009B7228" w:rsidRDefault="009B7228"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28" w:rsidRDefault="009B7228" w:rsidP="00E553AB">
      <w:r>
        <w:separator/>
      </w:r>
    </w:p>
  </w:footnote>
  <w:footnote w:type="continuationSeparator" w:id="0">
    <w:p w:rsidR="009B7228" w:rsidRDefault="009B7228" w:rsidP="00E553AB">
      <w:r>
        <w:continuationSeparator/>
      </w:r>
    </w:p>
  </w:footnote>
  <w:footnote w:id="1">
    <w:p w:rsidR="00D719E1" w:rsidRPr="0074422D" w:rsidRDefault="00D719E1"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D719E1" w:rsidRPr="0074422D" w:rsidRDefault="00D719E1"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D719E1" w:rsidRDefault="00D719E1"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E1" w:rsidRDefault="00D719E1"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4044A"/>
    <w:rsid w:val="00051151"/>
    <w:rsid w:val="0005175C"/>
    <w:rsid w:val="000667DF"/>
    <w:rsid w:val="000926C9"/>
    <w:rsid w:val="000B0C10"/>
    <w:rsid w:val="000C476A"/>
    <w:rsid w:val="000D1817"/>
    <w:rsid w:val="000D20A3"/>
    <w:rsid w:val="000E31B8"/>
    <w:rsid w:val="00102466"/>
    <w:rsid w:val="00102958"/>
    <w:rsid w:val="001051C1"/>
    <w:rsid w:val="00106831"/>
    <w:rsid w:val="00124C6D"/>
    <w:rsid w:val="00137039"/>
    <w:rsid w:val="00150B62"/>
    <w:rsid w:val="00151876"/>
    <w:rsid w:val="001659A1"/>
    <w:rsid w:val="00177551"/>
    <w:rsid w:val="001807D5"/>
    <w:rsid w:val="00181AAE"/>
    <w:rsid w:val="001821BF"/>
    <w:rsid w:val="00182CE5"/>
    <w:rsid w:val="00186677"/>
    <w:rsid w:val="001A51F3"/>
    <w:rsid w:val="001A5E7C"/>
    <w:rsid w:val="001F7E31"/>
    <w:rsid w:val="00200329"/>
    <w:rsid w:val="00200DD1"/>
    <w:rsid w:val="0021279C"/>
    <w:rsid w:val="00231C33"/>
    <w:rsid w:val="00236B23"/>
    <w:rsid w:val="00254ECD"/>
    <w:rsid w:val="002578A6"/>
    <w:rsid w:val="00273913"/>
    <w:rsid w:val="00290D73"/>
    <w:rsid w:val="002A13D9"/>
    <w:rsid w:val="002B60AF"/>
    <w:rsid w:val="002C511D"/>
    <w:rsid w:val="002D2D54"/>
    <w:rsid w:val="002D4103"/>
    <w:rsid w:val="002E2170"/>
    <w:rsid w:val="003043BC"/>
    <w:rsid w:val="003118F0"/>
    <w:rsid w:val="00322652"/>
    <w:rsid w:val="003364D1"/>
    <w:rsid w:val="00366FCB"/>
    <w:rsid w:val="00371E6F"/>
    <w:rsid w:val="00385ACB"/>
    <w:rsid w:val="0038763A"/>
    <w:rsid w:val="0039153E"/>
    <w:rsid w:val="003950E6"/>
    <w:rsid w:val="003A6D82"/>
    <w:rsid w:val="004004FB"/>
    <w:rsid w:val="00400912"/>
    <w:rsid w:val="00401637"/>
    <w:rsid w:val="0041163C"/>
    <w:rsid w:val="004153A5"/>
    <w:rsid w:val="00415429"/>
    <w:rsid w:val="00415C79"/>
    <w:rsid w:val="00415DDA"/>
    <w:rsid w:val="00417D09"/>
    <w:rsid w:val="00424DBF"/>
    <w:rsid w:val="004337C4"/>
    <w:rsid w:val="00435AC2"/>
    <w:rsid w:val="0043689B"/>
    <w:rsid w:val="00450892"/>
    <w:rsid w:val="00453D61"/>
    <w:rsid w:val="004557B1"/>
    <w:rsid w:val="004575DC"/>
    <w:rsid w:val="00470470"/>
    <w:rsid w:val="00495FC7"/>
    <w:rsid w:val="004B6CAA"/>
    <w:rsid w:val="004C2F05"/>
    <w:rsid w:val="004D7DC3"/>
    <w:rsid w:val="004D7E05"/>
    <w:rsid w:val="004D7ED4"/>
    <w:rsid w:val="004F3DD1"/>
    <w:rsid w:val="00501CD3"/>
    <w:rsid w:val="005046B7"/>
    <w:rsid w:val="00512049"/>
    <w:rsid w:val="00522311"/>
    <w:rsid w:val="00526D67"/>
    <w:rsid w:val="00527DE8"/>
    <w:rsid w:val="0054327C"/>
    <w:rsid w:val="00560346"/>
    <w:rsid w:val="00576EA4"/>
    <w:rsid w:val="00585912"/>
    <w:rsid w:val="00592D50"/>
    <w:rsid w:val="005D79B6"/>
    <w:rsid w:val="005E6917"/>
    <w:rsid w:val="005F1D4C"/>
    <w:rsid w:val="005F5577"/>
    <w:rsid w:val="006057D2"/>
    <w:rsid w:val="00607E49"/>
    <w:rsid w:val="006253D3"/>
    <w:rsid w:val="00633AA0"/>
    <w:rsid w:val="00633DD9"/>
    <w:rsid w:val="00660F08"/>
    <w:rsid w:val="00664CAE"/>
    <w:rsid w:val="00676D63"/>
    <w:rsid w:val="00677A64"/>
    <w:rsid w:val="00681F16"/>
    <w:rsid w:val="0068567F"/>
    <w:rsid w:val="006A0BC3"/>
    <w:rsid w:val="006B4CD3"/>
    <w:rsid w:val="006D71D4"/>
    <w:rsid w:val="006E034B"/>
    <w:rsid w:val="006E5789"/>
    <w:rsid w:val="006F2764"/>
    <w:rsid w:val="007109AC"/>
    <w:rsid w:val="00721AB7"/>
    <w:rsid w:val="00723F9A"/>
    <w:rsid w:val="007353A7"/>
    <w:rsid w:val="00746858"/>
    <w:rsid w:val="00760DCE"/>
    <w:rsid w:val="00775C0C"/>
    <w:rsid w:val="00795457"/>
    <w:rsid w:val="00796B21"/>
    <w:rsid w:val="007A211E"/>
    <w:rsid w:val="007B40D2"/>
    <w:rsid w:val="007D22C3"/>
    <w:rsid w:val="007F2DBA"/>
    <w:rsid w:val="0080115A"/>
    <w:rsid w:val="00803285"/>
    <w:rsid w:val="008236CA"/>
    <w:rsid w:val="008452A0"/>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92E23"/>
    <w:rsid w:val="009A3FF7"/>
    <w:rsid w:val="009B24AF"/>
    <w:rsid w:val="009B7228"/>
    <w:rsid w:val="009C541F"/>
    <w:rsid w:val="009C5635"/>
    <w:rsid w:val="009D04DF"/>
    <w:rsid w:val="009E0B28"/>
    <w:rsid w:val="009F5428"/>
    <w:rsid w:val="00A107CF"/>
    <w:rsid w:val="00A118ED"/>
    <w:rsid w:val="00A176D2"/>
    <w:rsid w:val="00A251CD"/>
    <w:rsid w:val="00A37FE6"/>
    <w:rsid w:val="00A509C9"/>
    <w:rsid w:val="00A65AAA"/>
    <w:rsid w:val="00A86CD8"/>
    <w:rsid w:val="00A87871"/>
    <w:rsid w:val="00AC3934"/>
    <w:rsid w:val="00AD1152"/>
    <w:rsid w:val="00AE3286"/>
    <w:rsid w:val="00B11AA2"/>
    <w:rsid w:val="00B42DD1"/>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0632"/>
    <w:rsid w:val="00C35749"/>
    <w:rsid w:val="00C50C48"/>
    <w:rsid w:val="00C54524"/>
    <w:rsid w:val="00C5501B"/>
    <w:rsid w:val="00C72470"/>
    <w:rsid w:val="00C84FDF"/>
    <w:rsid w:val="00C900C1"/>
    <w:rsid w:val="00CC5E93"/>
    <w:rsid w:val="00CE78C1"/>
    <w:rsid w:val="00D140BC"/>
    <w:rsid w:val="00D15E99"/>
    <w:rsid w:val="00D46BBB"/>
    <w:rsid w:val="00D546D1"/>
    <w:rsid w:val="00D55687"/>
    <w:rsid w:val="00D55EC8"/>
    <w:rsid w:val="00D719E1"/>
    <w:rsid w:val="00D77115"/>
    <w:rsid w:val="00D82B04"/>
    <w:rsid w:val="00D85DD5"/>
    <w:rsid w:val="00D94617"/>
    <w:rsid w:val="00DB51C7"/>
    <w:rsid w:val="00DD098A"/>
    <w:rsid w:val="00E075C0"/>
    <w:rsid w:val="00E07ABB"/>
    <w:rsid w:val="00E10791"/>
    <w:rsid w:val="00E230F6"/>
    <w:rsid w:val="00E40A8C"/>
    <w:rsid w:val="00E46C13"/>
    <w:rsid w:val="00E553AB"/>
    <w:rsid w:val="00E5701C"/>
    <w:rsid w:val="00E923AF"/>
    <w:rsid w:val="00E977FC"/>
    <w:rsid w:val="00EA41AB"/>
    <w:rsid w:val="00EB0FA9"/>
    <w:rsid w:val="00EB4660"/>
    <w:rsid w:val="00EB71A1"/>
    <w:rsid w:val="00EC5991"/>
    <w:rsid w:val="00ED7BF8"/>
    <w:rsid w:val="00EE2528"/>
    <w:rsid w:val="00EF58BA"/>
    <w:rsid w:val="00F00D0C"/>
    <w:rsid w:val="00F067D6"/>
    <w:rsid w:val="00F35C45"/>
    <w:rsid w:val="00F37271"/>
    <w:rsid w:val="00F5152B"/>
    <w:rsid w:val="00F56282"/>
    <w:rsid w:val="00F60848"/>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B9F5-1336-4B7A-90E8-32D33B0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37</Pages>
  <Words>11579</Words>
  <Characters>66005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2023-12-06T10:43:00Z</cp:lastPrinted>
  <dcterms:created xsi:type="dcterms:W3CDTF">2020-01-17T07:26:00Z</dcterms:created>
  <dcterms:modified xsi:type="dcterms:W3CDTF">2023-12-06T10:44:00Z</dcterms:modified>
</cp:coreProperties>
</file>