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B2E" w:rsidRPr="00031A03" w:rsidRDefault="003B2B2E" w:rsidP="00A52C84">
      <w:pPr>
        <w:ind w:left="709" w:firstLine="180"/>
        <w:jc w:val="center"/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67080" cy="914400"/>
            <wp:effectExtent l="1905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08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B2E" w:rsidRPr="00031A03" w:rsidRDefault="003B2B2E" w:rsidP="00A52C84">
      <w:pPr>
        <w:tabs>
          <w:tab w:val="left" w:pos="3510"/>
          <w:tab w:val="center" w:pos="5018"/>
        </w:tabs>
        <w:spacing w:after="0" w:line="240" w:lineRule="auto"/>
        <w:ind w:left="709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A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3B2B2E" w:rsidRPr="00031A03" w:rsidRDefault="003B2B2E" w:rsidP="00A52C84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A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ТУРКОВСКОГО МУНИЦИПАЛЬНОГО РАЙОНА</w:t>
      </w:r>
    </w:p>
    <w:p w:rsidR="003B2B2E" w:rsidRPr="00031A03" w:rsidRDefault="003B2B2E" w:rsidP="00A52C84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31A0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САРАТОВСКОЙ ОБЛАСТИ</w:t>
      </w:r>
    </w:p>
    <w:p w:rsidR="003B2B2E" w:rsidRPr="00031A03" w:rsidRDefault="003B2B2E" w:rsidP="00A52C84">
      <w:pPr>
        <w:spacing w:after="0"/>
        <w:ind w:left="709"/>
        <w:jc w:val="center"/>
        <w:rPr>
          <w:rFonts w:ascii="Calibri" w:eastAsia="Times New Roman" w:hAnsi="Calibri" w:cs="Times New Roman"/>
          <w:sz w:val="32"/>
          <w:szCs w:val="32"/>
          <w:lang w:eastAsia="ru-RU"/>
        </w:rPr>
      </w:pPr>
    </w:p>
    <w:p w:rsidR="003B2B2E" w:rsidRPr="00031A03" w:rsidRDefault="003B2B2E" w:rsidP="00A52C84">
      <w:pPr>
        <w:tabs>
          <w:tab w:val="center" w:pos="4680"/>
        </w:tabs>
        <w:ind w:left="709"/>
        <w:jc w:val="center"/>
        <w:outlineLvl w:val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31A0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3B2B2E" w:rsidRPr="00031A03" w:rsidRDefault="00A52C84" w:rsidP="00A52C84">
      <w:pPr>
        <w:tabs>
          <w:tab w:val="left" w:pos="142"/>
        </w:tabs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9B4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12.02.2018 г.    </w:t>
      </w:r>
      <w:r w:rsidR="003B2B2E" w:rsidRPr="0003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</w:p>
    <w:p w:rsidR="003B2B2E" w:rsidRPr="00031A03" w:rsidRDefault="003B2B2E" w:rsidP="00A52C84">
      <w:p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2B2E" w:rsidRPr="00031A03" w:rsidRDefault="003B2B2E" w:rsidP="00A52C84">
      <w:pPr>
        <w:tabs>
          <w:tab w:val="left" w:pos="142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1A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муниципальной программы</w:t>
      </w:r>
    </w:p>
    <w:p w:rsidR="003B2B2E" w:rsidRPr="00031A03" w:rsidRDefault="003B2B2E" w:rsidP="00A52C84">
      <w:pPr>
        <w:tabs>
          <w:tab w:val="left" w:pos="142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1A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«Поддержка социально </w:t>
      </w:r>
      <w:proofErr w:type="gramStart"/>
      <w:r w:rsidRPr="00031A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ориентированных</w:t>
      </w:r>
      <w:proofErr w:type="gramEnd"/>
    </w:p>
    <w:p w:rsidR="003B2B2E" w:rsidRPr="00031A03" w:rsidRDefault="003B2B2E" w:rsidP="00A52C84">
      <w:pPr>
        <w:tabs>
          <w:tab w:val="left" w:pos="142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1A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некоммерческих организаций Турковского</w:t>
      </w:r>
    </w:p>
    <w:p w:rsidR="003B2B2E" w:rsidRPr="00031A03" w:rsidRDefault="003B2B2E" w:rsidP="00A52C84">
      <w:pPr>
        <w:tabs>
          <w:tab w:val="left" w:pos="142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района» на 2018-2020</w:t>
      </w:r>
      <w:r w:rsidRPr="00031A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3B2B2E" w:rsidRPr="00031A03" w:rsidRDefault="003B2B2E" w:rsidP="00A52C84">
      <w:pPr>
        <w:tabs>
          <w:tab w:val="left" w:pos="142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2B2E" w:rsidRPr="00031A03" w:rsidRDefault="003B2B2E" w:rsidP="00A52C84">
      <w:pPr>
        <w:tabs>
          <w:tab w:val="left" w:pos="142"/>
        </w:tabs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1A0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Федеральными законами от 05 апреля 2010 года  № 40 - ФЗ «О внесении изменений в отдельные законодательные акты Российский Федерации по вопросу поддержки социально ориентированных некоммерческих организаций» и от 6 октября 2003 года № 131- ФЗ «Об общих принципах организации местного самоуправления в Российской Федерации», в целях формирования системы поддержки социально ориентированных некоммерческих организаций, осуществляющих деятельность на территории Турковского муниципального</w:t>
      </w:r>
      <w:proofErr w:type="gramEnd"/>
      <w:r w:rsidRPr="0003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администрация Турковского муниципального района ПОСТАНОВЛЯЕТ:</w:t>
      </w:r>
    </w:p>
    <w:p w:rsidR="003B2B2E" w:rsidRPr="00031A03" w:rsidRDefault="003B2B2E" w:rsidP="00A52C84">
      <w:pPr>
        <w:tabs>
          <w:tab w:val="left" w:pos="142"/>
        </w:tabs>
        <w:spacing w:after="0" w:line="240" w:lineRule="auto"/>
        <w:ind w:left="7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A03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муниципальную программу «Поддержка социально ориентированных некоммерческих организаций Турковског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муниципального района» на 2018-2020 </w:t>
      </w:r>
      <w:r w:rsidRPr="0003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r w:rsidRPr="0003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приложению.</w:t>
      </w:r>
    </w:p>
    <w:p w:rsidR="003B2B2E" w:rsidRPr="00031A03" w:rsidRDefault="003B2B2E" w:rsidP="00A52C84">
      <w:pPr>
        <w:tabs>
          <w:tab w:val="left" w:pos="142"/>
        </w:tabs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031A0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3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администрации</w:t>
      </w:r>
      <w:r w:rsidR="00A52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031A0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52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1A0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управления образования администрации муниципального района  Исайкина С.П.</w:t>
      </w:r>
    </w:p>
    <w:p w:rsidR="003B2B2E" w:rsidRPr="00031A03" w:rsidRDefault="003B2B2E" w:rsidP="00A52C84">
      <w:pPr>
        <w:tabs>
          <w:tab w:val="left" w:pos="142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2B2E" w:rsidRPr="00031A03" w:rsidRDefault="003B2B2E" w:rsidP="00A52C84">
      <w:pPr>
        <w:tabs>
          <w:tab w:val="left" w:pos="142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2B2E" w:rsidRPr="00031A03" w:rsidRDefault="003B2B2E" w:rsidP="00A52C84">
      <w:pPr>
        <w:tabs>
          <w:tab w:val="left" w:pos="142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2B2E" w:rsidRPr="00031A03" w:rsidRDefault="003B2B2E" w:rsidP="00A52C84">
      <w:pPr>
        <w:tabs>
          <w:tab w:val="left" w:pos="142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2B2E" w:rsidRPr="00031A03" w:rsidRDefault="003B2B2E" w:rsidP="00A52C84">
      <w:pPr>
        <w:tabs>
          <w:tab w:val="left" w:pos="142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1A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Турковского</w:t>
      </w:r>
    </w:p>
    <w:p w:rsidR="003B2B2E" w:rsidRPr="00031A03" w:rsidRDefault="003B2B2E" w:rsidP="00A52C84">
      <w:pPr>
        <w:tabs>
          <w:tab w:val="left" w:pos="142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A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031A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52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</w:t>
      </w:r>
      <w:r w:rsidRPr="00031A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А.В.Никитин</w:t>
      </w:r>
    </w:p>
    <w:p w:rsidR="00031A03" w:rsidRPr="00031A03" w:rsidRDefault="00031A03" w:rsidP="008A59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031A03" w:rsidRDefault="00031A03" w:rsidP="00031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2C84" w:rsidRDefault="00A52C84" w:rsidP="00031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2C84" w:rsidRDefault="00A52C84" w:rsidP="00031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2C84" w:rsidRDefault="00A52C84" w:rsidP="00031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2C84" w:rsidRDefault="00A52C84" w:rsidP="00031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2C84" w:rsidRDefault="00A52C84" w:rsidP="00031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2C84" w:rsidRDefault="00A52C84" w:rsidP="00031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2C84" w:rsidRDefault="00A52C84" w:rsidP="00031A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</w:t>
      </w:r>
      <w:r w:rsidRPr="00A52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к постановлению </w:t>
      </w:r>
    </w:p>
    <w:p w:rsidR="00A52C84" w:rsidRDefault="00A52C84" w:rsidP="00031A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Pr="00A52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A52C8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A52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52C84" w:rsidRPr="00A52C84" w:rsidRDefault="00A52C84" w:rsidP="00031A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района от </w:t>
      </w:r>
      <w:r w:rsidRPr="00A52C84">
        <w:rPr>
          <w:rFonts w:ascii="Times New Roman" w:eastAsia="Times New Roman" w:hAnsi="Times New Roman" w:cs="Times New Roman"/>
          <w:sz w:val="28"/>
          <w:szCs w:val="28"/>
          <w:lang w:eastAsia="ru-RU"/>
        </w:rPr>
        <w:t>12.02.2018 г. № 80</w:t>
      </w:r>
    </w:p>
    <w:p w:rsidR="00A52C84" w:rsidRDefault="00A52C84" w:rsidP="00031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1A03" w:rsidRPr="00031A03" w:rsidRDefault="00031A03" w:rsidP="00031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1A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ПРОГРАММА</w:t>
      </w:r>
    </w:p>
    <w:p w:rsidR="00031A03" w:rsidRPr="00031A03" w:rsidRDefault="00031A03" w:rsidP="00031A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1A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«Поддержка социально ориентированных некоммерческих организаций Турковского муниципального района» на 201</w:t>
      </w:r>
      <w:r w:rsidR="00741A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8-2020 </w:t>
      </w:r>
      <w:r w:rsidRPr="00031A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741A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031A03" w:rsidRPr="00031A03" w:rsidRDefault="00031A03" w:rsidP="00031A03">
      <w:pPr>
        <w:numPr>
          <w:ilvl w:val="0"/>
          <w:numId w:val="1"/>
        </w:num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1A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муниципальной программы</w:t>
      </w:r>
    </w:p>
    <w:tbl>
      <w:tblPr>
        <w:tblStyle w:val="a3"/>
        <w:tblW w:w="0" w:type="auto"/>
        <w:tblLook w:val="04A0"/>
      </w:tblPr>
      <w:tblGrid>
        <w:gridCol w:w="2518"/>
        <w:gridCol w:w="7513"/>
      </w:tblGrid>
      <w:tr w:rsidR="00031A03" w:rsidRPr="00031A03" w:rsidTr="00031A0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A03" w:rsidRPr="00031A03" w:rsidRDefault="00031A03" w:rsidP="00031A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A03" w:rsidRPr="00031A03" w:rsidRDefault="00031A03" w:rsidP="00031A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>Муниципальная программа «Поддержка социально ориентированных некоммерческих организаций Турковског</w:t>
            </w:r>
            <w:r w:rsidR="003C5F53">
              <w:rPr>
                <w:rFonts w:ascii="Times New Roman" w:hAnsi="Times New Roman"/>
                <w:sz w:val="28"/>
                <w:szCs w:val="28"/>
              </w:rPr>
              <w:t>о муниципального района» на 2018</w:t>
            </w:r>
            <w:r w:rsidR="00741A3B">
              <w:rPr>
                <w:rFonts w:ascii="Times New Roman" w:hAnsi="Times New Roman"/>
                <w:sz w:val="28"/>
                <w:szCs w:val="28"/>
              </w:rPr>
              <w:t>-2020</w:t>
            </w:r>
            <w:r w:rsidRPr="00031A03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741A3B">
              <w:rPr>
                <w:rFonts w:ascii="Times New Roman" w:hAnsi="Times New Roman"/>
                <w:sz w:val="28"/>
                <w:szCs w:val="28"/>
              </w:rPr>
              <w:t>ы</w:t>
            </w:r>
          </w:p>
          <w:p w:rsidR="00031A03" w:rsidRPr="00031A03" w:rsidRDefault="00031A03" w:rsidP="00031A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>(далее – Программа)</w:t>
            </w:r>
          </w:p>
        </w:tc>
      </w:tr>
      <w:tr w:rsidR="00031A03" w:rsidRPr="00031A03" w:rsidTr="00031A0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A03" w:rsidRPr="00031A03" w:rsidRDefault="00031A03" w:rsidP="00031A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A03" w:rsidRPr="00031A03" w:rsidRDefault="00031A03" w:rsidP="00031A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031A03" w:rsidRPr="00031A03" w:rsidTr="00031A0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A03" w:rsidRPr="00031A03" w:rsidRDefault="00031A03" w:rsidP="00031A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A03" w:rsidRPr="00031A03" w:rsidRDefault="00031A03" w:rsidP="00031A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031A03" w:rsidRPr="00031A03" w:rsidTr="00031A0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A03" w:rsidRPr="00031A03" w:rsidRDefault="00031A03" w:rsidP="00031A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 xml:space="preserve">Исполнители </w:t>
            </w:r>
            <w:r w:rsidR="00A52C84">
              <w:rPr>
                <w:rFonts w:ascii="Times New Roman" w:hAnsi="Times New Roman"/>
                <w:sz w:val="28"/>
                <w:szCs w:val="28"/>
              </w:rPr>
              <w:t>П</w:t>
            </w:r>
            <w:r w:rsidRPr="00031A03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A03" w:rsidRPr="00031A03" w:rsidRDefault="00031A03" w:rsidP="00031A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031A03" w:rsidRPr="00031A03" w:rsidTr="00031A0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A03" w:rsidRPr="00031A03" w:rsidRDefault="00031A03" w:rsidP="00031A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>Цели и задачи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A03" w:rsidRPr="00031A03" w:rsidRDefault="00031A03" w:rsidP="00031A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>Цель: поддержка и развитие социально ориентированных некоммерческих организаций,осуществляющих свою деятельность на территории Турковского муниципального района</w:t>
            </w:r>
            <w:r w:rsidRPr="00031A03"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  <w:t xml:space="preserve"> по социальной поддержке ветеранов и ведущих работу по патриотическому воспитанию молодежи</w:t>
            </w:r>
            <w:r w:rsidRPr="00031A0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31A03" w:rsidRPr="00031A03" w:rsidRDefault="00031A03" w:rsidP="00031A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>Для достижения поставленной цели необходимо решить следующие задачи:</w:t>
            </w:r>
          </w:p>
          <w:p w:rsidR="00031A03" w:rsidRPr="00031A03" w:rsidRDefault="00031A03" w:rsidP="00031A03">
            <w:pPr>
              <w:numPr>
                <w:ilvl w:val="0"/>
                <w:numId w:val="2"/>
              </w:numPr>
              <w:tabs>
                <w:tab w:val="num" w:pos="317"/>
              </w:tabs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>координация работы по обследованию условий жизни ветеранов ВОВ и труда; выявление нуждаемости пенсионеров в различных видах социальной помощи;</w:t>
            </w:r>
          </w:p>
          <w:p w:rsidR="00031A03" w:rsidRPr="00031A03" w:rsidRDefault="00031A03" w:rsidP="00031A03">
            <w:pPr>
              <w:numPr>
                <w:ilvl w:val="0"/>
                <w:numId w:val="2"/>
              </w:numPr>
              <w:tabs>
                <w:tab w:val="num" w:pos="317"/>
              </w:tabs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 xml:space="preserve">организация работы по оказанию адресной конкретной помощи каждому нуждающемуся пенсионеру; </w:t>
            </w:r>
          </w:p>
          <w:p w:rsidR="00031A03" w:rsidRPr="00031A03" w:rsidRDefault="00031A03" w:rsidP="00031A03">
            <w:pPr>
              <w:numPr>
                <w:ilvl w:val="0"/>
                <w:numId w:val="2"/>
              </w:numPr>
              <w:tabs>
                <w:tab w:val="num" w:pos="317"/>
              </w:tabs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>привлечение членов НКО к работе по обеспечению досуга граждан пожилого возраста и юридической грамотности;</w:t>
            </w:r>
          </w:p>
          <w:p w:rsidR="00031A03" w:rsidRPr="00031A03" w:rsidRDefault="00031A03" w:rsidP="00031A03">
            <w:pPr>
              <w:numPr>
                <w:ilvl w:val="0"/>
                <w:numId w:val="2"/>
              </w:numPr>
              <w:tabs>
                <w:tab w:val="num" w:pos="317"/>
              </w:tabs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 xml:space="preserve">вовлечение ветеранов в проведение мероприятий, нацеленных на гражданско-патриотическое воспитание подрастающего поколения </w:t>
            </w:r>
          </w:p>
          <w:p w:rsidR="00031A03" w:rsidRPr="00031A03" w:rsidRDefault="00031A03" w:rsidP="00031A03">
            <w:pPr>
              <w:numPr>
                <w:ilvl w:val="0"/>
                <w:numId w:val="2"/>
              </w:numPr>
              <w:tabs>
                <w:tab w:val="num" w:pos="317"/>
              </w:tabs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>увеличение количества ветеранов в работе с молодежью района, привлечение ветеранов для оказания профессиональной помощи молодым специалистам;</w:t>
            </w:r>
          </w:p>
          <w:p w:rsidR="00031A03" w:rsidRPr="00031A03" w:rsidRDefault="00031A03" w:rsidP="00031A03">
            <w:pPr>
              <w:numPr>
                <w:ilvl w:val="0"/>
                <w:numId w:val="2"/>
              </w:numPr>
              <w:tabs>
                <w:tab w:val="num" w:pos="317"/>
              </w:tabs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>установление связей с районными советами ветеранов, первичными ветеранскими.</w:t>
            </w:r>
          </w:p>
          <w:p w:rsidR="00031A03" w:rsidRPr="00031A03" w:rsidRDefault="00031A03" w:rsidP="00031A03">
            <w:pPr>
              <w:ind w:left="317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1A03" w:rsidRPr="00031A03" w:rsidTr="00031A0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A03" w:rsidRPr="00031A03" w:rsidRDefault="00031A03" w:rsidP="00031A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A03" w:rsidRPr="00031A03" w:rsidRDefault="003C5F53" w:rsidP="00031A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  <w:r w:rsidR="00741A3B">
              <w:rPr>
                <w:rFonts w:ascii="Times New Roman" w:hAnsi="Times New Roman"/>
                <w:sz w:val="28"/>
                <w:szCs w:val="28"/>
              </w:rPr>
              <w:t>-2020</w:t>
            </w:r>
            <w:r w:rsidR="00031A03" w:rsidRPr="00031A03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741A3B"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</w:tr>
      <w:tr w:rsidR="00031A03" w:rsidRPr="00031A03" w:rsidTr="00031A0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A03" w:rsidRPr="00031A03" w:rsidRDefault="00031A03" w:rsidP="00031A03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A03" w:rsidRDefault="00031A03" w:rsidP="00741A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>Источник финансирования: средства бюджета Турковского муниципального района</w:t>
            </w:r>
            <w:r w:rsidR="002E043E">
              <w:rPr>
                <w:rFonts w:ascii="Times New Roman" w:hAnsi="Times New Roman"/>
                <w:sz w:val="28"/>
                <w:szCs w:val="28"/>
              </w:rPr>
              <w:t>.</w:t>
            </w:r>
            <w:r w:rsidR="002E043E" w:rsidRPr="00031A03">
              <w:rPr>
                <w:rFonts w:ascii="Times New Roman" w:hAnsi="Times New Roman"/>
                <w:sz w:val="28"/>
                <w:szCs w:val="28"/>
              </w:rPr>
              <w:t xml:space="preserve"> Общий объем  финансирования Программы составляет </w:t>
            </w:r>
            <w:r w:rsidR="002E043E">
              <w:rPr>
                <w:rFonts w:ascii="Times New Roman" w:hAnsi="Times New Roman"/>
                <w:sz w:val="28"/>
                <w:szCs w:val="28"/>
              </w:rPr>
              <w:t>369</w:t>
            </w:r>
            <w:r w:rsidR="002E043E" w:rsidRPr="00031A03">
              <w:rPr>
                <w:rFonts w:ascii="Times New Roman" w:hAnsi="Times New Roman"/>
                <w:sz w:val="28"/>
                <w:szCs w:val="28"/>
              </w:rPr>
              <w:t>,0 тыс.</w:t>
            </w:r>
            <w:r w:rsidR="002E043E">
              <w:rPr>
                <w:rFonts w:ascii="Times New Roman" w:hAnsi="Times New Roman"/>
                <w:sz w:val="28"/>
                <w:szCs w:val="28"/>
              </w:rPr>
              <w:t xml:space="preserve"> рублей, в том числе:</w:t>
            </w:r>
          </w:p>
          <w:p w:rsidR="002E043E" w:rsidRDefault="002E043E" w:rsidP="00741A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– 123 тыс. руб.</w:t>
            </w:r>
          </w:p>
          <w:p w:rsidR="002E043E" w:rsidRDefault="002E043E" w:rsidP="00741A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 123 тыс. руб.</w:t>
            </w:r>
          </w:p>
          <w:p w:rsidR="002E043E" w:rsidRPr="00031A03" w:rsidRDefault="002E043E" w:rsidP="00741A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2020 год – 123 тыс. руб.</w:t>
            </w:r>
          </w:p>
        </w:tc>
      </w:tr>
      <w:tr w:rsidR="00031A03" w:rsidRPr="00031A03" w:rsidTr="00031A0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A03" w:rsidRPr="00031A03" w:rsidRDefault="00031A03" w:rsidP="00031A03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</w:t>
            </w:r>
            <w:r w:rsidR="00A52C84">
              <w:rPr>
                <w:rFonts w:ascii="Times New Roman" w:hAnsi="Times New Roman"/>
                <w:sz w:val="28"/>
                <w:szCs w:val="28"/>
              </w:rPr>
              <w:t>конечные результаты реализации П</w:t>
            </w:r>
            <w:r w:rsidRPr="00031A03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A03" w:rsidRPr="00031A03" w:rsidRDefault="00031A03" w:rsidP="00031A03">
            <w:pPr>
              <w:numPr>
                <w:ilvl w:val="0"/>
                <w:numId w:val="3"/>
              </w:numPr>
              <w:tabs>
                <w:tab w:val="left" w:pos="317"/>
                <w:tab w:val="left" w:pos="601"/>
              </w:tabs>
              <w:ind w:left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>сохранение  у населения района исторической памяти;</w:t>
            </w:r>
          </w:p>
          <w:p w:rsidR="00031A03" w:rsidRPr="00031A03" w:rsidRDefault="00031A03" w:rsidP="00031A03">
            <w:pPr>
              <w:numPr>
                <w:ilvl w:val="0"/>
                <w:numId w:val="3"/>
              </w:numPr>
              <w:tabs>
                <w:tab w:val="left" w:pos="317"/>
                <w:tab w:val="left" w:pos="601"/>
              </w:tabs>
              <w:ind w:left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>сохранение  преемственности поколений;</w:t>
            </w:r>
          </w:p>
          <w:p w:rsidR="00031A03" w:rsidRPr="00031A03" w:rsidRDefault="00031A03" w:rsidP="00031A03">
            <w:pPr>
              <w:numPr>
                <w:ilvl w:val="0"/>
                <w:numId w:val="3"/>
              </w:numPr>
              <w:tabs>
                <w:tab w:val="left" w:pos="317"/>
                <w:tab w:val="left" w:pos="601"/>
              </w:tabs>
              <w:ind w:left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 xml:space="preserve">воспитание уважительного отношение к людям старшего поколения </w:t>
            </w:r>
          </w:p>
          <w:p w:rsidR="00031A03" w:rsidRPr="00031A03" w:rsidRDefault="00031A03" w:rsidP="00031A03">
            <w:pPr>
              <w:numPr>
                <w:ilvl w:val="0"/>
                <w:numId w:val="3"/>
              </w:numPr>
              <w:tabs>
                <w:tab w:val="left" w:pos="317"/>
                <w:tab w:val="left" w:pos="601"/>
              </w:tabs>
              <w:ind w:left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>патриотическое воспитание молодёжи, формирование у молодых людей социальной ответственности;</w:t>
            </w:r>
          </w:p>
          <w:p w:rsidR="00031A03" w:rsidRPr="00031A03" w:rsidRDefault="00031A03" w:rsidP="00031A03">
            <w:pPr>
              <w:numPr>
                <w:ilvl w:val="0"/>
                <w:numId w:val="3"/>
              </w:numPr>
              <w:tabs>
                <w:tab w:val="left" w:pos="317"/>
                <w:tab w:val="left" w:pos="601"/>
              </w:tabs>
              <w:ind w:left="34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>создание условий для предоставления ветеранам консультативных, культурно-досуговых услуг;</w:t>
            </w:r>
          </w:p>
          <w:p w:rsidR="00031A03" w:rsidRPr="00031A03" w:rsidRDefault="00031A03" w:rsidP="00031A03">
            <w:pPr>
              <w:numPr>
                <w:ilvl w:val="0"/>
                <w:numId w:val="3"/>
              </w:numPr>
              <w:tabs>
                <w:tab w:val="left" w:pos="317"/>
                <w:tab w:val="left" w:pos="601"/>
              </w:tabs>
              <w:ind w:left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>улучшение работы социально ориентированных некоммерческих организаций, осуществляющих свою деятельность на территории Турковского муниципального района по социальной поддержке ветеранов</w:t>
            </w:r>
            <w:r w:rsidR="009B43BE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031A03" w:rsidRPr="00031A03" w:rsidRDefault="00031A03" w:rsidP="00031A03">
            <w:pPr>
              <w:numPr>
                <w:ilvl w:val="0"/>
                <w:numId w:val="3"/>
              </w:numPr>
              <w:tabs>
                <w:tab w:val="left" w:pos="317"/>
                <w:tab w:val="left" w:pos="601"/>
              </w:tabs>
              <w:ind w:left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>увеличение количества жителей Турковского муниципального района, принявших участие в социально значимых мероприятиях и как следствие повышение качества жизни людей пожилого возраста.</w:t>
            </w:r>
          </w:p>
        </w:tc>
      </w:tr>
      <w:tr w:rsidR="00031A03" w:rsidRPr="00031A03" w:rsidTr="00031A0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A03" w:rsidRPr="00031A03" w:rsidRDefault="00031A03" w:rsidP="00031A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31A03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031A03">
              <w:rPr>
                <w:rFonts w:ascii="Times New Roman" w:hAnsi="Times New Roman"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A03" w:rsidRPr="00031A03" w:rsidRDefault="00031A03" w:rsidP="00031A0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</w:tbl>
    <w:p w:rsidR="00031A03" w:rsidRPr="00031A03" w:rsidRDefault="00031A03" w:rsidP="00031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1A03" w:rsidRPr="00031A03" w:rsidRDefault="009B43BE" w:rsidP="00031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31A03" w:rsidRPr="00031A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Содержание проблемы и обоснование необходимости ее решения программными методами</w:t>
      </w:r>
    </w:p>
    <w:p w:rsidR="00031A03" w:rsidRPr="00031A03" w:rsidRDefault="00031A03" w:rsidP="00031A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Гражданское общество возникает как результат свободной самоорганизации жителей территории, стремящихся к объединению на основе осознания общности своих интересов и целей, и способных самостоятельно решать не только свои собственные проблемы, но и проблемы других людей. </w:t>
      </w:r>
    </w:p>
    <w:p w:rsidR="00031A03" w:rsidRPr="00031A03" w:rsidRDefault="00031A03" w:rsidP="00031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A0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целью Программы является поддержка и развитие социально ориентированных некоммерческих организаций на территории Турковского муниципального района.</w:t>
      </w:r>
    </w:p>
    <w:p w:rsidR="00031A03" w:rsidRPr="00031A03" w:rsidRDefault="00031A03" w:rsidP="00031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</w:t>
      </w:r>
      <w:r w:rsidR="009B43B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от 6 октября 2003 года №</w:t>
      </w:r>
      <w:r w:rsidRPr="0003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131-</w:t>
      </w:r>
      <w:r w:rsidR="009B4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1A03">
        <w:rPr>
          <w:rFonts w:ascii="Times New Roman" w:eastAsia="Times New Roman" w:hAnsi="Times New Roman" w:cs="Times New Roman"/>
          <w:sz w:val="28"/>
          <w:szCs w:val="28"/>
          <w:lang w:eastAsia="ru-RU"/>
        </w:rPr>
        <w:t>ФЗ «Об общих принципах организации местного самоуправления в Российской Федерации» оказание поддержки социально ориентированным некоммерческим организациям, отнесены к вопросам местного значения.</w:t>
      </w:r>
    </w:p>
    <w:p w:rsidR="00031A03" w:rsidRPr="00031A03" w:rsidRDefault="00A52C84" w:rsidP="00031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2018</w:t>
      </w:r>
      <w:r w:rsidR="00031A03" w:rsidRPr="0003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территории Турковского му</w:t>
      </w:r>
      <w:r w:rsidR="002E043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 района действуют 10</w:t>
      </w:r>
      <w:r w:rsidR="00031A03" w:rsidRPr="0003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 ориентированных некоммерческих организаций, которые ведут работу с различными категориями граждан.</w:t>
      </w:r>
    </w:p>
    <w:p w:rsidR="00031A03" w:rsidRPr="00031A03" w:rsidRDefault="00031A03" w:rsidP="00031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наличии значительного количества общественных объединений, остается вопрос качества работы НКО. На сегодняшний день их деятельность затрагивает крайне узкий круг вопросов социального характера и потенциал гражданских инициатив нельзя назвать реализованным. </w:t>
      </w:r>
    </w:p>
    <w:p w:rsidR="00031A03" w:rsidRPr="00031A03" w:rsidRDefault="00031A03" w:rsidP="00031A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Слабыми сторонами развития некоммерческого сектора в муниципальном районе являются: </w:t>
      </w:r>
    </w:p>
    <w:p w:rsidR="00031A03" w:rsidRPr="00031A03" w:rsidRDefault="00031A03" w:rsidP="00031A0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низкая гражданская активность населения;</w:t>
      </w:r>
    </w:p>
    <w:p w:rsidR="00031A03" w:rsidRPr="00031A03" w:rsidRDefault="00031A03" w:rsidP="00031A0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неравномерность развития отдельных видов общественной активности населения;</w:t>
      </w:r>
    </w:p>
    <w:p w:rsidR="00031A03" w:rsidRPr="00031A03" w:rsidRDefault="00031A03" w:rsidP="00031A0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отсутствие системы эффективного взаимодействия органов местного самоуправления  и населения;</w:t>
      </w:r>
    </w:p>
    <w:p w:rsidR="00031A03" w:rsidRPr="00031A03" w:rsidRDefault="00031A03" w:rsidP="00031A03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нехватка профессиональных и специальных знаний в области делопроизводства у руководителей НКО и, как следствие, отсутствие системности в их деятельности, низкий уровень планирования и неумение применять программный подход в своей деятельности;</w:t>
      </w:r>
    </w:p>
    <w:p w:rsidR="00031A03" w:rsidRPr="00031A03" w:rsidRDefault="00031A03" w:rsidP="00031A03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ограниченные ресурсы НКО – человеческие, финансовые, технические; </w:t>
      </w:r>
    </w:p>
    <w:p w:rsidR="00031A03" w:rsidRPr="00031A03" w:rsidRDefault="00031A03" w:rsidP="00031A03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разобщенность организаций, отсутствие налаженных внутренних контактов на уровне муниципального района.</w:t>
      </w:r>
    </w:p>
    <w:p w:rsidR="00031A03" w:rsidRPr="00031A03" w:rsidRDefault="00031A03" w:rsidP="00031A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A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предусматривает финансовую, имущественную, информационную и консультативную поддержку инициатив</w:t>
      </w:r>
      <w:r w:rsidR="009B4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1A0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 ориентированным некоммерческим организациям. Исходя из  вышеперечисленного, одной их задач органов местного самоуправления должно стать создание условий для развития социально ориентированных некоммерческих организаций. Поэтому целесообразно решать данную проблему программно-целевым методом.</w:t>
      </w:r>
    </w:p>
    <w:p w:rsidR="00031A03" w:rsidRPr="00031A03" w:rsidRDefault="00031A03" w:rsidP="00031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031A03" w:rsidRPr="00031A03" w:rsidRDefault="009B43BE" w:rsidP="009B43B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                        3</w:t>
      </w:r>
      <w:r w:rsidR="00031A03" w:rsidRPr="00031A0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 Цели и задачи Программы</w:t>
      </w:r>
    </w:p>
    <w:p w:rsidR="00031A03" w:rsidRPr="00031A03" w:rsidRDefault="00031A03" w:rsidP="00031A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A0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целью Программы является  поддержка  и развитие деятельности социально ориентированных некоммерческих организаций, осуществляющих свою деятельность на территории Турковского муниципального района.</w:t>
      </w:r>
    </w:p>
    <w:p w:rsidR="00031A03" w:rsidRPr="00031A03" w:rsidRDefault="00031A03" w:rsidP="00031A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31A0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Достижение цели возможно посредством решения следующих задач:</w:t>
      </w:r>
    </w:p>
    <w:p w:rsidR="00031A03" w:rsidRPr="00031A03" w:rsidRDefault="00031A03" w:rsidP="00031A03">
      <w:pPr>
        <w:numPr>
          <w:ilvl w:val="0"/>
          <w:numId w:val="5"/>
        </w:numPr>
        <w:tabs>
          <w:tab w:val="left" w:pos="-1134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A0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механизмов финансовой, имущественной, информационной, консультационной поддержки НКО;</w:t>
      </w:r>
    </w:p>
    <w:p w:rsidR="00031A03" w:rsidRPr="00031A03" w:rsidRDefault="00031A03" w:rsidP="00031A0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A0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постоянно действующей системы взаимодействия органов местного самоуправления и населения;</w:t>
      </w:r>
    </w:p>
    <w:p w:rsidR="00031A03" w:rsidRPr="00031A03" w:rsidRDefault="00031A03" w:rsidP="00031A0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A0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благоприятной среды для обеспечения реализации уставной деятельности социально ориентированных некоммерческих организаций, осуществляющих свою деятельность на территории Турковского муниципального района;</w:t>
      </w:r>
    </w:p>
    <w:p w:rsidR="00031A03" w:rsidRPr="00031A03" w:rsidRDefault="00031A03" w:rsidP="00031A03">
      <w:pPr>
        <w:numPr>
          <w:ilvl w:val="0"/>
          <w:numId w:val="5"/>
        </w:numPr>
        <w:tabs>
          <w:tab w:val="left" w:pos="-1134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A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поощрение и стимулирование благотворительной деятельности и добровольческого движения в муниципальном районе.</w:t>
      </w:r>
    </w:p>
    <w:p w:rsidR="00031A03" w:rsidRPr="00031A03" w:rsidRDefault="00031A03" w:rsidP="00031A03">
      <w:pPr>
        <w:tabs>
          <w:tab w:val="left" w:pos="-1134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031A03" w:rsidRPr="00031A03" w:rsidRDefault="009B43BE" w:rsidP="00031A03">
      <w:pPr>
        <w:tabs>
          <w:tab w:val="left" w:pos="-1134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4</w:t>
      </w:r>
      <w:r w:rsidR="00031A03" w:rsidRPr="00031A0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 Критерии эффективности реализации Программы</w:t>
      </w:r>
    </w:p>
    <w:p w:rsidR="00031A03" w:rsidRPr="00031A03" w:rsidRDefault="00031A03" w:rsidP="00031A03">
      <w:pPr>
        <w:tabs>
          <w:tab w:val="left" w:pos="292"/>
        </w:tabs>
        <w:snapToGri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Эффективность реализации Программы оценивается по качественным и количественным показателям, характеризующим состояние гражданской активности населения на муниципальном уровне.</w:t>
      </w:r>
    </w:p>
    <w:p w:rsidR="00031A03" w:rsidRPr="00031A03" w:rsidRDefault="00031A03" w:rsidP="00031A03">
      <w:pPr>
        <w:tabs>
          <w:tab w:val="left" w:pos="292"/>
        </w:tabs>
        <w:snapToGri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A03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реализации мероприятий ожидается:</w:t>
      </w:r>
    </w:p>
    <w:p w:rsidR="00031A03" w:rsidRPr="00031A03" w:rsidRDefault="00031A03" w:rsidP="00031A03">
      <w:pPr>
        <w:numPr>
          <w:ilvl w:val="0"/>
          <w:numId w:val="5"/>
        </w:numPr>
        <w:tabs>
          <w:tab w:val="left" w:pos="-1134"/>
          <w:tab w:val="num" w:pos="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A0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числа НКО, имеющих статус юридического лица,</w:t>
      </w:r>
    </w:p>
    <w:p w:rsidR="00031A03" w:rsidRPr="00031A03" w:rsidRDefault="00031A03" w:rsidP="00031A03">
      <w:pPr>
        <w:numPr>
          <w:ilvl w:val="0"/>
          <w:numId w:val="5"/>
        </w:numPr>
        <w:tabs>
          <w:tab w:val="left" w:pos="-1134"/>
          <w:tab w:val="num" w:pos="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количества проведенных в </w:t>
      </w:r>
      <w:proofErr w:type="spellStart"/>
      <w:r w:rsidRPr="00031A03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Турковском</w:t>
      </w:r>
      <w:proofErr w:type="spellEnd"/>
      <w:r w:rsidRPr="0003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общественных акций и мероприятий, </w:t>
      </w:r>
    </w:p>
    <w:p w:rsidR="00031A03" w:rsidRPr="003C5F53" w:rsidRDefault="00031A03" w:rsidP="003C5F53">
      <w:pPr>
        <w:numPr>
          <w:ilvl w:val="0"/>
          <w:numId w:val="5"/>
        </w:numPr>
        <w:spacing w:after="0" w:line="240" w:lineRule="auto"/>
        <w:ind w:left="249" w:hanging="18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A0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объема благотворительной деятельности по Турковскому муниципальному району.</w:t>
      </w:r>
    </w:p>
    <w:p w:rsidR="00741A3B" w:rsidRDefault="009B43BE" w:rsidP="009B43BE">
      <w:pPr>
        <w:spacing w:after="1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5</w:t>
      </w:r>
      <w:r w:rsidR="002E043E" w:rsidRPr="002E04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2E04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Сроки реализации программы</w:t>
      </w:r>
    </w:p>
    <w:p w:rsidR="002E043E" w:rsidRPr="002E043E" w:rsidRDefault="00A52C84" w:rsidP="002E043E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</w:t>
      </w:r>
      <w:r w:rsidR="002E043E" w:rsidRPr="002E043E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Реализация Программы будет осуществляться в 2018-2020 годы.</w:t>
      </w:r>
      <w:r w:rsidR="002E043E" w:rsidRPr="002E043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</w:p>
    <w:p w:rsidR="002E043E" w:rsidRPr="002E043E" w:rsidRDefault="002E043E" w:rsidP="002E043E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 этап 2018 год- 123</w:t>
      </w:r>
      <w:r w:rsidRPr="002E043E">
        <w:rPr>
          <w:rFonts w:ascii="Times New Roman" w:eastAsiaTheme="minorEastAsia" w:hAnsi="Times New Roman" w:cs="Times New Roman"/>
          <w:sz w:val="28"/>
          <w:szCs w:val="28"/>
          <w:lang w:eastAsia="ru-RU"/>
        </w:rPr>
        <w:t>,0 тыс. руб.</w:t>
      </w:r>
    </w:p>
    <w:p w:rsidR="002E043E" w:rsidRPr="002E043E" w:rsidRDefault="002E043E" w:rsidP="002E043E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 этап 2019 год –123</w:t>
      </w:r>
      <w:r w:rsidRPr="002E043E">
        <w:rPr>
          <w:rFonts w:ascii="Times New Roman" w:eastAsiaTheme="minorEastAsia" w:hAnsi="Times New Roman" w:cs="Times New Roman"/>
          <w:sz w:val="28"/>
          <w:szCs w:val="28"/>
          <w:lang w:eastAsia="ru-RU"/>
        </w:rPr>
        <w:t>,0 тыс. руб.</w:t>
      </w:r>
    </w:p>
    <w:p w:rsidR="002E043E" w:rsidRPr="002E043E" w:rsidRDefault="002E043E" w:rsidP="002E043E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3 этап 2020 год – 123</w:t>
      </w:r>
      <w:r w:rsidRPr="002E043E">
        <w:rPr>
          <w:rFonts w:ascii="Times New Roman" w:eastAsiaTheme="minorEastAsia" w:hAnsi="Times New Roman" w:cs="Times New Roman"/>
          <w:sz w:val="28"/>
          <w:szCs w:val="28"/>
          <w:lang w:eastAsia="ru-RU"/>
        </w:rPr>
        <w:t>,0 тыс. руб.</w:t>
      </w:r>
    </w:p>
    <w:p w:rsidR="002E043E" w:rsidRPr="002E043E" w:rsidRDefault="002E043E" w:rsidP="002E043E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52C84" w:rsidRDefault="00A52C84" w:rsidP="00F55F1C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043E" w:rsidRDefault="009B43BE" w:rsidP="009B43BE">
      <w:pPr>
        <w:spacing w:after="1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6</w:t>
      </w:r>
      <w:r w:rsidR="002E04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Ожидаемые результаты</w:t>
      </w:r>
      <w:r w:rsidR="00F55F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</w:t>
      </w:r>
    </w:p>
    <w:p w:rsidR="00F55F1C" w:rsidRPr="00031A03" w:rsidRDefault="00F55F1C" w:rsidP="00F55F1C">
      <w:pPr>
        <w:tabs>
          <w:tab w:val="left" w:pos="317"/>
          <w:tab w:val="left" w:pos="601"/>
        </w:tabs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1.С</w:t>
      </w:r>
      <w:r w:rsidRPr="00031A03">
        <w:rPr>
          <w:rFonts w:ascii="Times New Roman" w:hAnsi="Times New Roman"/>
          <w:sz w:val="28"/>
          <w:szCs w:val="28"/>
        </w:rPr>
        <w:t>охранение  у населения района исторической памяти;</w:t>
      </w:r>
    </w:p>
    <w:p w:rsidR="00F55F1C" w:rsidRPr="00031A03" w:rsidRDefault="00F55F1C" w:rsidP="00F55F1C">
      <w:pPr>
        <w:tabs>
          <w:tab w:val="left" w:pos="317"/>
          <w:tab w:val="left" w:pos="601"/>
        </w:tabs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2.С</w:t>
      </w:r>
      <w:r w:rsidRPr="00031A03">
        <w:rPr>
          <w:rFonts w:ascii="Times New Roman" w:hAnsi="Times New Roman"/>
          <w:sz w:val="28"/>
          <w:szCs w:val="28"/>
        </w:rPr>
        <w:t>охранение  преемственности поколений;</w:t>
      </w:r>
    </w:p>
    <w:p w:rsidR="00F55F1C" w:rsidRPr="00031A03" w:rsidRDefault="00F55F1C" w:rsidP="00F55F1C">
      <w:pPr>
        <w:tabs>
          <w:tab w:val="left" w:pos="317"/>
          <w:tab w:val="left" w:pos="601"/>
        </w:tabs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3.В</w:t>
      </w:r>
      <w:r w:rsidRPr="00031A03">
        <w:rPr>
          <w:rFonts w:ascii="Times New Roman" w:hAnsi="Times New Roman"/>
          <w:sz w:val="28"/>
          <w:szCs w:val="28"/>
        </w:rPr>
        <w:t xml:space="preserve">оспитание уважительного отношение к людям старшего поколения </w:t>
      </w:r>
    </w:p>
    <w:p w:rsidR="00F55F1C" w:rsidRPr="00031A03" w:rsidRDefault="00F55F1C" w:rsidP="00F55F1C">
      <w:pPr>
        <w:tabs>
          <w:tab w:val="left" w:pos="317"/>
          <w:tab w:val="left" w:pos="601"/>
        </w:tabs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4.П</w:t>
      </w:r>
      <w:r w:rsidRPr="00031A03">
        <w:rPr>
          <w:rFonts w:ascii="Times New Roman" w:hAnsi="Times New Roman"/>
          <w:sz w:val="28"/>
          <w:szCs w:val="28"/>
        </w:rPr>
        <w:t>атриотическое воспитание молодёжи, формирование у молодых людей социальной ответственности;</w:t>
      </w:r>
    </w:p>
    <w:p w:rsidR="00F55F1C" w:rsidRPr="00031A03" w:rsidRDefault="00F55F1C" w:rsidP="00F55F1C">
      <w:pPr>
        <w:tabs>
          <w:tab w:val="left" w:pos="317"/>
          <w:tab w:val="left" w:pos="601"/>
        </w:tabs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5.С</w:t>
      </w:r>
      <w:r w:rsidRPr="00031A03">
        <w:rPr>
          <w:rFonts w:ascii="Times New Roman" w:hAnsi="Times New Roman"/>
          <w:sz w:val="28"/>
          <w:szCs w:val="28"/>
        </w:rPr>
        <w:t>оздание условий для предоставления ветеранам консультативных, культурно-досуговых услуг;</w:t>
      </w:r>
    </w:p>
    <w:p w:rsidR="00F55F1C" w:rsidRPr="00031A03" w:rsidRDefault="00F55F1C" w:rsidP="00F55F1C">
      <w:pPr>
        <w:tabs>
          <w:tab w:val="left" w:pos="317"/>
          <w:tab w:val="left" w:pos="601"/>
        </w:tabs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6.У</w:t>
      </w:r>
      <w:r w:rsidRPr="00031A03">
        <w:rPr>
          <w:rFonts w:ascii="Times New Roman" w:hAnsi="Times New Roman"/>
          <w:sz w:val="28"/>
          <w:szCs w:val="28"/>
        </w:rPr>
        <w:t>лучшение работы социально ориентированных некоммерческих организаций, осуществляющих свою деятельность на территории Турковского муниципального района по социальной поддержке ветеранов</w:t>
      </w:r>
    </w:p>
    <w:p w:rsidR="00F55F1C" w:rsidRDefault="00F55F1C" w:rsidP="00F55F1C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7.У</w:t>
      </w:r>
      <w:r w:rsidRPr="00031A03">
        <w:rPr>
          <w:rFonts w:ascii="Times New Roman" w:hAnsi="Times New Roman"/>
          <w:sz w:val="28"/>
          <w:szCs w:val="28"/>
        </w:rPr>
        <w:t>величение количества жителей Турковского муниципального района, принявших участие в социально значимых мероприятиях и как следствие повышение качества жизни людей пожилого возраста.</w:t>
      </w:r>
    </w:p>
    <w:p w:rsidR="00F55F1C" w:rsidRPr="00F55F1C" w:rsidRDefault="009B43BE" w:rsidP="009B43BE">
      <w:pPr>
        <w:spacing w:after="1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7</w:t>
      </w:r>
      <w:r w:rsidR="00F55F1C" w:rsidRPr="00F55F1C">
        <w:rPr>
          <w:rFonts w:ascii="Times New Roman" w:hAnsi="Times New Roman"/>
          <w:b/>
          <w:sz w:val="28"/>
          <w:szCs w:val="28"/>
        </w:rPr>
        <w:t>. Ресурсное обеспечение Программы</w:t>
      </w:r>
    </w:p>
    <w:p w:rsidR="00F55F1C" w:rsidRPr="00F55F1C" w:rsidRDefault="00F55F1C" w:rsidP="00F55F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Реализация Программы осуществляется за счет средств бюджета Турков</w:t>
      </w:r>
      <w:r w:rsidR="009B43B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муниципального района</w:t>
      </w:r>
      <w:r w:rsidRPr="00F55F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06FD" w:rsidRDefault="00F55F1C" w:rsidP="00F55F1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55F1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Общий объем финансирования Программы –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369</w:t>
      </w:r>
      <w:r w:rsidRPr="00F55F1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,0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рублей, в том числе:</w:t>
      </w:r>
    </w:p>
    <w:p w:rsidR="00F55F1C" w:rsidRPr="002E043E" w:rsidRDefault="00F55F1C" w:rsidP="00F55F1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 этап 2018 год- 123</w:t>
      </w:r>
      <w:r w:rsidRPr="002E043E">
        <w:rPr>
          <w:rFonts w:ascii="Times New Roman" w:eastAsiaTheme="minorEastAsia" w:hAnsi="Times New Roman" w:cs="Times New Roman"/>
          <w:sz w:val="28"/>
          <w:szCs w:val="28"/>
          <w:lang w:eastAsia="ru-RU"/>
        </w:rPr>
        <w:t>,0 тыс. руб.</w:t>
      </w:r>
    </w:p>
    <w:p w:rsidR="00F55F1C" w:rsidRPr="002E043E" w:rsidRDefault="00F55F1C" w:rsidP="00F55F1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 этап 2019 год –123</w:t>
      </w:r>
      <w:r w:rsidRPr="002E043E">
        <w:rPr>
          <w:rFonts w:ascii="Times New Roman" w:eastAsiaTheme="minorEastAsia" w:hAnsi="Times New Roman" w:cs="Times New Roman"/>
          <w:sz w:val="28"/>
          <w:szCs w:val="28"/>
          <w:lang w:eastAsia="ru-RU"/>
        </w:rPr>
        <w:t>,0 тыс. руб.</w:t>
      </w:r>
    </w:p>
    <w:p w:rsidR="00F55F1C" w:rsidRDefault="00F55F1C" w:rsidP="00F55F1C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3 этап 2020 год – 123</w:t>
      </w:r>
      <w:r w:rsidRPr="002E043E">
        <w:rPr>
          <w:rFonts w:ascii="Times New Roman" w:eastAsiaTheme="minorEastAsia" w:hAnsi="Times New Roman" w:cs="Times New Roman"/>
          <w:sz w:val="28"/>
          <w:szCs w:val="28"/>
          <w:lang w:eastAsia="ru-RU"/>
        </w:rPr>
        <w:t>,0 тыс. руб.</w:t>
      </w:r>
    </w:p>
    <w:p w:rsidR="00F55F1C" w:rsidRPr="002E043E" w:rsidRDefault="009B43BE" w:rsidP="009B43BE">
      <w:pPr>
        <w:tabs>
          <w:tab w:val="left" w:pos="-284"/>
        </w:tabs>
        <w:spacing w:after="0" w:line="240" w:lineRule="auto"/>
        <w:ind w:left="-284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  8</w:t>
      </w:r>
      <w:r w:rsidR="00F55F1C" w:rsidRPr="00F55F1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. Управление реализацией Программы и контроль</w:t>
      </w:r>
    </w:p>
    <w:p w:rsidR="00F55F1C" w:rsidRPr="00F55F1C" w:rsidRDefault="00F55F1C" w:rsidP="00F55F1C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55F1C" w:rsidRPr="00F55F1C" w:rsidRDefault="00F55F1C" w:rsidP="00F55F1C">
      <w:pPr>
        <w:tabs>
          <w:tab w:val="left" w:pos="-284"/>
        </w:tabs>
        <w:spacing w:after="0" w:line="240" w:lineRule="auto"/>
        <w:ind w:left="-284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F55F1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9B43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</w:t>
      </w:r>
      <w:r w:rsidR="009B43B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9</w:t>
      </w:r>
      <w:r w:rsidRPr="00F55F1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. Механизм реализации Программы и организация контроля</w:t>
      </w:r>
    </w:p>
    <w:p w:rsidR="00F55F1C" w:rsidRDefault="00F55F1C" w:rsidP="00F55F1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1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proofErr w:type="gramStart"/>
      <w:r w:rsidRPr="00F55F1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5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Программы осуществляет администрация Турковского муниципального района. </w:t>
      </w:r>
    </w:p>
    <w:p w:rsidR="00F55F1C" w:rsidRPr="00F55F1C" w:rsidRDefault="00F55F1C" w:rsidP="009B43B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1C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реализации Программы контролируется по предоставляем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ым некоммерческой организацией</w:t>
      </w:r>
      <w:r w:rsidRPr="00F5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квартальным </w:t>
      </w:r>
      <w:r w:rsidRPr="00F5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отчетам. Сведения об исполнении Программы направляются в администрацию Турковского муниципального района.</w:t>
      </w:r>
    </w:p>
    <w:p w:rsidR="00F55F1C" w:rsidRPr="00F55F1C" w:rsidRDefault="00F55F1C" w:rsidP="00F55F1C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5F1C" w:rsidRPr="00F55F1C" w:rsidRDefault="00F55F1C" w:rsidP="00F55F1C">
      <w:p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5F1C" w:rsidRDefault="00F55F1C" w:rsidP="00F55F1C">
      <w:pPr>
        <w:spacing w:after="1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5F1C" w:rsidRDefault="00F55F1C" w:rsidP="00F55F1C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5F1C" w:rsidRDefault="00F55F1C" w:rsidP="00F55F1C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5F1C" w:rsidRDefault="00F55F1C" w:rsidP="00F55F1C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5F1C" w:rsidRDefault="00F55F1C" w:rsidP="00F55F1C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5F1C" w:rsidRPr="002E043E" w:rsidRDefault="00F55F1C" w:rsidP="00F55F1C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F55F1C" w:rsidRPr="002E043E" w:rsidSect="00A52C84">
          <w:pgSz w:w="11906" w:h="16838"/>
          <w:pgMar w:top="426" w:right="850" w:bottom="568" w:left="993" w:header="709" w:footer="709" w:gutter="0"/>
          <w:cols w:space="708"/>
          <w:docGrid w:linePitch="360"/>
        </w:sectPr>
      </w:pPr>
    </w:p>
    <w:p w:rsidR="00031A03" w:rsidRPr="00031A03" w:rsidRDefault="00031A03" w:rsidP="00031A03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1A0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lastRenderedPageBreak/>
        <w:t>V</w:t>
      </w:r>
      <w:r w:rsidRPr="00031A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Перечень программных мероприятий</w:t>
      </w:r>
    </w:p>
    <w:tbl>
      <w:tblPr>
        <w:tblStyle w:val="a3"/>
        <w:tblW w:w="15593" w:type="dxa"/>
        <w:tblInd w:w="250" w:type="dxa"/>
        <w:tblLayout w:type="fixed"/>
        <w:tblLook w:val="04A0"/>
      </w:tblPr>
      <w:tblGrid>
        <w:gridCol w:w="708"/>
        <w:gridCol w:w="2690"/>
        <w:gridCol w:w="2124"/>
        <w:gridCol w:w="2266"/>
        <w:gridCol w:w="1704"/>
        <w:gridCol w:w="7"/>
        <w:gridCol w:w="1663"/>
        <w:gridCol w:w="36"/>
        <w:gridCol w:w="1700"/>
        <w:gridCol w:w="2695"/>
      </w:tblGrid>
      <w:tr w:rsidR="00741A3B" w:rsidRPr="00031A03" w:rsidTr="00E406FD">
        <w:trPr>
          <w:trHeight w:val="896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1A3B" w:rsidRPr="00031A03" w:rsidRDefault="00741A3B" w:rsidP="00031A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741A3B" w:rsidRPr="00031A03" w:rsidRDefault="00741A3B" w:rsidP="00031A0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31A0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031A03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A3B" w:rsidRPr="00031A03" w:rsidRDefault="00741A3B" w:rsidP="00031A0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  <w:p w:rsidR="00741A3B" w:rsidRPr="00031A03" w:rsidRDefault="00741A3B" w:rsidP="00031A0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41A3B" w:rsidRPr="00031A03" w:rsidRDefault="00741A3B" w:rsidP="00031A0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41A3B" w:rsidRPr="00031A03" w:rsidRDefault="00741A3B" w:rsidP="00031A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1A3B" w:rsidRPr="00031A03" w:rsidRDefault="00741A3B" w:rsidP="00031A0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>Сроки исполнения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A3B" w:rsidRPr="00031A03" w:rsidRDefault="00741A3B" w:rsidP="00031A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>Источники финансирования</w:t>
            </w:r>
          </w:p>
          <w:p w:rsidR="00741A3B" w:rsidRPr="00031A03" w:rsidRDefault="00741A3B" w:rsidP="00031A0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3B" w:rsidRPr="00031A03" w:rsidRDefault="00741A3B" w:rsidP="00031A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>Объем финансирования</w:t>
            </w:r>
          </w:p>
          <w:p w:rsidR="00741A3B" w:rsidRPr="00031A03" w:rsidRDefault="00741A3B" w:rsidP="00031A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>(тыс</w:t>
            </w:r>
            <w:proofErr w:type="gramStart"/>
            <w:r w:rsidRPr="00031A0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031A03">
              <w:rPr>
                <w:rFonts w:ascii="Times New Roman" w:hAnsi="Times New Roman"/>
                <w:sz w:val="28"/>
                <w:szCs w:val="28"/>
              </w:rPr>
              <w:t>уб.)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A3B" w:rsidRPr="00031A03" w:rsidRDefault="00741A3B" w:rsidP="00031A0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>Исполнители мероприятия</w:t>
            </w:r>
          </w:p>
          <w:p w:rsidR="00741A3B" w:rsidRPr="00031A03" w:rsidRDefault="00741A3B" w:rsidP="00031A0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41A3B" w:rsidRPr="00031A03" w:rsidRDefault="00741A3B" w:rsidP="00031A0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1A3B" w:rsidRPr="00031A03" w:rsidTr="00E406FD">
        <w:trPr>
          <w:trHeight w:val="865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B" w:rsidRPr="00031A03" w:rsidRDefault="00741A3B" w:rsidP="00031A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B" w:rsidRPr="00031A03" w:rsidRDefault="00741A3B" w:rsidP="00031A0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B" w:rsidRPr="00031A03" w:rsidRDefault="00741A3B" w:rsidP="00031A0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B" w:rsidRPr="00031A03" w:rsidRDefault="00741A3B" w:rsidP="00031A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B" w:rsidRPr="00031A03" w:rsidRDefault="00741A3B" w:rsidP="00031A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B" w:rsidRPr="00031A03" w:rsidRDefault="00741A3B" w:rsidP="00031A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B" w:rsidRPr="00031A03" w:rsidRDefault="00741A3B" w:rsidP="00031A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2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B" w:rsidRPr="00031A03" w:rsidRDefault="00741A3B" w:rsidP="00031A0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1A3B" w:rsidRPr="00031A03" w:rsidTr="00E406F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3B" w:rsidRPr="00031A03" w:rsidRDefault="00741A3B" w:rsidP="00031A03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3B" w:rsidRPr="00031A03" w:rsidRDefault="00741A3B" w:rsidP="00031A03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>Размещение в средствах массовой информации и сети Интернет информации о ходе и результатах реализации Программы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1A3B" w:rsidRDefault="00E406FD" w:rsidP="00741A3B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E406FD" w:rsidRPr="00031A03" w:rsidRDefault="00E406FD" w:rsidP="00741A3B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A3B" w:rsidRPr="00031A03" w:rsidRDefault="00741A3B" w:rsidP="00031A03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3B" w:rsidRPr="00031A03" w:rsidRDefault="00741A3B" w:rsidP="00741A3B">
            <w:pPr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B" w:rsidRPr="00031A03" w:rsidRDefault="00741A3B" w:rsidP="00031A03">
            <w:pPr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B" w:rsidRPr="00031A03" w:rsidRDefault="00741A3B" w:rsidP="00031A03">
            <w:pPr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3B" w:rsidRPr="00031A03" w:rsidRDefault="00741A3B" w:rsidP="00031A03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>Администрация муниципального района</w:t>
            </w:r>
          </w:p>
        </w:tc>
      </w:tr>
      <w:tr w:rsidR="00E406FD" w:rsidRPr="00031A03" w:rsidTr="00445A59">
        <w:trPr>
          <w:trHeight w:val="34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06FD" w:rsidRPr="00031A03" w:rsidRDefault="00E406FD" w:rsidP="00031A03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06FD" w:rsidRPr="00031A03" w:rsidRDefault="00E406FD" w:rsidP="00031A03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212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06FD" w:rsidRDefault="00E406FD" w:rsidP="00E406FD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E406FD" w:rsidRPr="00031A03" w:rsidRDefault="00E406FD" w:rsidP="00E406FD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06FD" w:rsidRPr="00031A03" w:rsidRDefault="00E406FD" w:rsidP="00031A03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r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r w:rsidR="00A52C8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31A03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06FD" w:rsidRPr="00031A03" w:rsidRDefault="00E406FD" w:rsidP="00031A03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>123,0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06FD" w:rsidRPr="00031A03" w:rsidRDefault="00E406FD" w:rsidP="00741A3B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06FD" w:rsidRPr="00031A03" w:rsidRDefault="00E406FD" w:rsidP="00741A3B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06FD" w:rsidRPr="00031A03" w:rsidRDefault="00E406FD" w:rsidP="00031A03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>Администрация муниципального района</w:t>
            </w:r>
          </w:p>
        </w:tc>
      </w:tr>
      <w:tr w:rsidR="00741A3B" w:rsidRPr="00031A03" w:rsidTr="00E406F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3B" w:rsidRPr="00031A03" w:rsidRDefault="00741A3B" w:rsidP="00031A03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3B" w:rsidRPr="00031A03" w:rsidRDefault="00741A3B" w:rsidP="00031A03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 xml:space="preserve">Оказание информационной поддержки социально </w:t>
            </w:r>
            <w:r w:rsidRPr="00031A03">
              <w:rPr>
                <w:rFonts w:ascii="Times New Roman" w:hAnsi="Times New Roman"/>
                <w:sz w:val="28"/>
                <w:szCs w:val="28"/>
              </w:rPr>
              <w:lastRenderedPageBreak/>
              <w:t>ориентированным некоммерческим организациям путем размещения информации об их деятельности на официальном сайте органов местного самоуправления Турковского муниципального района.</w:t>
            </w:r>
          </w:p>
        </w:tc>
        <w:tc>
          <w:tcPr>
            <w:tcW w:w="212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06FD" w:rsidRDefault="00E406FD" w:rsidP="00E406FD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2018</w:t>
            </w:r>
          </w:p>
          <w:p w:rsidR="00E406FD" w:rsidRDefault="00E406FD" w:rsidP="00E406FD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06FD" w:rsidRDefault="00E406FD" w:rsidP="00E406FD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06FD" w:rsidRDefault="00E406FD" w:rsidP="00E406FD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06FD" w:rsidRDefault="00E406FD" w:rsidP="00E406FD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06FD" w:rsidRDefault="00E406FD" w:rsidP="00E406FD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06FD" w:rsidRDefault="00E406FD" w:rsidP="00E406FD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06FD" w:rsidRDefault="00E406FD" w:rsidP="00E406FD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06FD" w:rsidRDefault="00E406FD" w:rsidP="00E406FD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06FD" w:rsidRPr="00031A03" w:rsidRDefault="00E406FD" w:rsidP="00E406FD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41A3B" w:rsidRPr="00031A03" w:rsidRDefault="00741A3B" w:rsidP="00031A03">
            <w:pPr>
              <w:spacing w:after="1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3B" w:rsidRPr="00031A03" w:rsidRDefault="00741A3B" w:rsidP="00741A3B">
            <w:pPr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B" w:rsidRPr="00031A03" w:rsidRDefault="00741A3B" w:rsidP="00031A03">
            <w:pPr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B" w:rsidRPr="00031A03" w:rsidRDefault="00741A3B" w:rsidP="00031A03">
            <w:pPr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3B" w:rsidRPr="00031A03" w:rsidRDefault="00741A3B" w:rsidP="00031A03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>Администрация муниципального района</w:t>
            </w:r>
          </w:p>
        </w:tc>
      </w:tr>
      <w:tr w:rsidR="00741A3B" w:rsidRPr="00031A03" w:rsidTr="009B43BE">
        <w:trPr>
          <w:trHeight w:val="286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3B" w:rsidRPr="00031A03" w:rsidRDefault="00741A3B" w:rsidP="00031A03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3B" w:rsidRPr="00031A03" w:rsidRDefault="00741A3B" w:rsidP="00031A03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>Оказание консультативной поддержки социально ориентированным некоммерческим организациям</w:t>
            </w:r>
          </w:p>
        </w:tc>
        <w:tc>
          <w:tcPr>
            <w:tcW w:w="2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FD" w:rsidRDefault="00E406FD" w:rsidP="00E406FD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741A3B" w:rsidRPr="00031A03" w:rsidRDefault="00741A3B" w:rsidP="00E406FD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B" w:rsidRPr="00031A03" w:rsidRDefault="00741A3B" w:rsidP="00031A03">
            <w:pPr>
              <w:spacing w:after="1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3B" w:rsidRPr="00031A03" w:rsidRDefault="00741A3B" w:rsidP="00741A3B">
            <w:pPr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B" w:rsidRPr="00031A03" w:rsidRDefault="00741A3B" w:rsidP="00031A03">
            <w:pPr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B" w:rsidRPr="00031A03" w:rsidRDefault="00741A3B" w:rsidP="00031A03">
            <w:pPr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3B" w:rsidRPr="00031A03" w:rsidRDefault="00741A3B" w:rsidP="00031A03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sz w:val="28"/>
                <w:szCs w:val="28"/>
              </w:rPr>
              <w:t>Администрация муниципального района</w:t>
            </w:r>
          </w:p>
        </w:tc>
      </w:tr>
      <w:tr w:rsidR="00741A3B" w:rsidRPr="00031A03" w:rsidTr="009B43B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B" w:rsidRPr="00031A03" w:rsidRDefault="00741A3B" w:rsidP="00031A03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3B" w:rsidRPr="00031A03" w:rsidRDefault="00741A3B" w:rsidP="00031A03">
            <w:pPr>
              <w:spacing w:after="1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31A03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3B" w:rsidRPr="00031A03" w:rsidRDefault="00741A3B" w:rsidP="00031A03">
            <w:pPr>
              <w:tabs>
                <w:tab w:val="left" w:pos="3337"/>
              </w:tabs>
              <w:rPr>
                <w:rFonts w:ascii="Times New Roman" w:hAnsi="Times New Roman"/>
                <w:sz w:val="28"/>
                <w:szCs w:val="28"/>
              </w:rPr>
            </w:pPr>
            <w:r w:rsidRPr="00031A03">
              <w:rPr>
                <w:rFonts w:ascii="Times New Roman" w:hAnsi="Times New Roman"/>
                <w:b/>
                <w:sz w:val="28"/>
                <w:szCs w:val="28"/>
              </w:rPr>
              <w:t>123,0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B" w:rsidRPr="00741A3B" w:rsidRDefault="00741A3B" w:rsidP="00741A3B">
            <w:pPr>
              <w:tabs>
                <w:tab w:val="left" w:pos="3337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741A3B">
              <w:rPr>
                <w:rFonts w:ascii="Times New Roman" w:hAnsi="Times New Roman"/>
                <w:b/>
                <w:sz w:val="28"/>
                <w:szCs w:val="28"/>
              </w:rPr>
              <w:t>123,0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B" w:rsidRPr="00741A3B" w:rsidRDefault="00741A3B" w:rsidP="00741A3B">
            <w:pPr>
              <w:tabs>
                <w:tab w:val="left" w:pos="3337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741A3B">
              <w:rPr>
                <w:rFonts w:ascii="Times New Roman" w:hAnsi="Times New Roman"/>
                <w:b/>
                <w:sz w:val="28"/>
                <w:szCs w:val="28"/>
              </w:rPr>
              <w:t>123,0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B" w:rsidRPr="00031A03" w:rsidRDefault="00741A3B" w:rsidP="00031A03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1A3B" w:rsidRPr="00031A03" w:rsidTr="00E406F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B" w:rsidRPr="00031A03" w:rsidRDefault="00741A3B" w:rsidP="00031A03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B" w:rsidRPr="00031A03" w:rsidRDefault="00741A3B" w:rsidP="00031A03">
            <w:pPr>
              <w:spacing w:after="1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 по программе</w:t>
            </w:r>
          </w:p>
        </w:tc>
        <w:tc>
          <w:tcPr>
            <w:tcW w:w="5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B" w:rsidRPr="00741A3B" w:rsidRDefault="00741A3B" w:rsidP="00031A03">
            <w:pPr>
              <w:spacing w:after="1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41A3B">
              <w:rPr>
                <w:rFonts w:ascii="Times New Roman" w:hAnsi="Times New Roman"/>
                <w:b/>
                <w:sz w:val="28"/>
                <w:szCs w:val="28"/>
              </w:rPr>
              <w:t>369,0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B" w:rsidRPr="00031A03" w:rsidRDefault="00741A3B" w:rsidP="00031A03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31A03" w:rsidRPr="00031A03" w:rsidRDefault="00031A03" w:rsidP="00031A03">
      <w:pPr>
        <w:tabs>
          <w:tab w:val="left" w:pos="333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6ADE" w:rsidRDefault="00616ADE"/>
    <w:sectPr w:rsidR="00616ADE" w:rsidSect="00741A3B">
      <w:pgSz w:w="16838" w:h="11906" w:orient="landscape"/>
      <w:pgMar w:top="851" w:right="1134" w:bottom="992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7C54D2"/>
    <w:multiLevelType w:val="hybridMultilevel"/>
    <w:tmpl w:val="A762E644"/>
    <w:lvl w:ilvl="0" w:tplc="041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B804065C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3B01A9"/>
    <w:multiLevelType w:val="hybridMultilevel"/>
    <w:tmpl w:val="BEC2A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658F8"/>
    <w:multiLevelType w:val="hybridMultilevel"/>
    <w:tmpl w:val="937C93AC"/>
    <w:lvl w:ilvl="0" w:tplc="26362EB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884A5A"/>
    <w:multiLevelType w:val="hybridMultilevel"/>
    <w:tmpl w:val="AF0A967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3D456FC"/>
    <w:multiLevelType w:val="hybridMultilevel"/>
    <w:tmpl w:val="8222D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73E65"/>
    <w:rsid w:val="00031A03"/>
    <w:rsid w:val="00037C45"/>
    <w:rsid w:val="001F2850"/>
    <w:rsid w:val="002E043E"/>
    <w:rsid w:val="0031088B"/>
    <w:rsid w:val="00350DEA"/>
    <w:rsid w:val="003B2B2E"/>
    <w:rsid w:val="003C5F53"/>
    <w:rsid w:val="003C6089"/>
    <w:rsid w:val="0043761E"/>
    <w:rsid w:val="0049204B"/>
    <w:rsid w:val="00616ADE"/>
    <w:rsid w:val="006326C2"/>
    <w:rsid w:val="006402B8"/>
    <w:rsid w:val="00673E65"/>
    <w:rsid w:val="00741A3B"/>
    <w:rsid w:val="008707A2"/>
    <w:rsid w:val="008A5984"/>
    <w:rsid w:val="008B5D48"/>
    <w:rsid w:val="009B43BE"/>
    <w:rsid w:val="00A52C84"/>
    <w:rsid w:val="00B97109"/>
    <w:rsid w:val="00E406FD"/>
    <w:rsid w:val="00F55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31A0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0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08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1628</Words>
  <Characters>9285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123</cp:lastModifiedBy>
  <cp:revision>4</cp:revision>
  <cp:lastPrinted>2018-01-04T21:46:00Z</cp:lastPrinted>
  <dcterms:created xsi:type="dcterms:W3CDTF">2018-01-04T16:47:00Z</dcterms:created>
  <dcterms:modified xsi:type="dcterms:W3CDTF">2018-01-04T21:49:00Z</dcterms:modified>
</cp:coreProperties>
</file>