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387" w:leader="none"/>
        </w:tabs>
        <w:bidi w:val="0"/>
        <w:spacing w:lineRule="auto" w:line="240" w:before="0" w:after="0"/>
        <w:ind w:start="4678" w:end="0" w:hanging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Утвержден </w:t>
      </w:r>
    </w:p>
    <w:p>
      <w:pPr>
        <w:pStyle w:val="Normal"/>
        <w:widowControl w:val="false"/>
        <w:tabs>
          <w:tab w:val="left" w:pos="5387" w:leader="none"/>
        </w:tabs>
        <w:bidi w:val="0"/>
        <w:spacing w:lineRule="auto" w:line="240" w:before="0" w:after="0"/>
        <w:ind w:start="4678" w:end="0" w:hanging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Турковского </w:t>
      </w:r>
    </w:p>
    <w:p>
      <w:pPr>
        <w:pStyle w:val="Normal"/>
        <w:widowControl w:val="false"/>
        <w:tabs>
          <w:tab w:val="left" w:pos="5387" w:leader="none"/>
        </w:tabs>
        <w:bidi w:val="0"/>
        <w:spacing w:lineRule="auto" w:line="240" w:before="0" w:after="0"/>
        <w:ind w:start="4678" w:end="0" w:hanging="0"/>
        <w:jc w:val="end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>района</w:t>
      </w:r>
    </w:p>
    <w:p>
      <w:pPr>
        <w:pStyle w:val="Normal"/>
        <w:widowControl w:val="false"/>
        <w:tabs>
          <w:tab w:val="left" w:pos="5387" w:leader="none"/>
        </w:tabs>
        <w:bidi w:val="0"/>
        <w:spacing w:lineRule="auto" w:line="240" w:before="0" w:after="0"/>
        <w:ind w:start="4678" w:end="0" w:hanging="0"/>
        <w:jc w:val="end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 xml:space="preserve">В. Никитин________ </w:t>
      </w:r>
    </w:p>
    <w:p>
      <w:pPr>
        <w:pStyle w:val="Normal"/>
        <w:widowControl w:val="false"/>
        <w:tabs>
          <w:tab w:val="left" w:pos="5387" w:leader="none"/>
        </w:tabs>
        <w:bidi w:val="0"/>
        <w:spacing w:lineRule="auto" w:line="240" w:before="0" w:after="0"/>
        <w:ind w:start="4678" w:end="0" w:hanging="0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План инвестиционного развития 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Турковского муниципального района до 2024 года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 инвестиционного развития Турковского муниципального района (далее — район) представляет собой плановый документ, определяющий цели, задачи и ожидаемые результаты деятельности органов местного самоуправления района по созданию благоприятного инвестиционного климата </w:t>
      </w:r>
      <w:r>
        <w:rPr>
          <w:sz w:val="28"/>
          <w:szCs w:val="28"/>
        </w:rPr>
        <w:t>в районе.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плана — анализ текущей ситуации, поиск точек роста, новых ниш для развития бизнеса на территории района, поддержка и развитие существующих предприятий. Определение конкретных проектов и предприятий для поддержки и развития.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Оценка социально-экономического положения и инвестиционного потенциала района</w:t>
      </w:r>
    </w:p>
    <w:p>
      <w:pPr>
        <w:pStyle w:val="Normal"/>
        <w:bidi w:val="0"/>
        <w:jc w:val="both"/>
        <w:rPr>
          <w:rFonts w:ascii="PT Astra Serif" w:hAnsi="PT Astra Serif" w:cs="PT Astra Serif"/>
          <w:b/>
          <w:b/>
          <w:bCs/>
          <w:i/>
          <w:i/>
          <w:iCs/>
          <w:sz w:val="28"/>
          <w:szCs w:val="28"/>
        </w:rPr>
      </w:pPr>
      <w:r>
        <w:rPr>
          <w:rFonts w:cs="PT Astra Serif"/>
          <w:b/>
          <w:bCs/>
          <w:i/>
          <w:iCs/>
          <w:sz w:val="28"/>
          <w:szCs w:val="28"/>
        </w:rPr>
        <w:t>1.1. Краткое описание географического положения территории, история, особые местные условия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>Т</w:t>
      </w:r>
      <w:r>
        <w:rPr>
          <w:rFonts w:cs="PT Astra Serif"/>
          <w:sz w:val="28"/>
          <w:szCs w:val="28"/>
        </w:rPr>
        <w:t xml:space="preserve">урковский муниципальный район расположен в северо-западной правобережной зоне Саратовской области, </w:t>
      </w:r>
      <w:r>
        <w:rPr>
          <w:rFonts w:cs="PT Astra Serif"/>
          <w:sz w:val="28"/>
          <w:szCs w:val="28"/>
        </w:rPr>
        <w:t xml:space="preserve">граничит с </w:t>
      </w:r>
      <w:r>
        <w:rPr>
          <w:rFonts w:cs="PT Astra Serif"/>
          <w:sz w:val="28"/>
          <w:szCs w:val="28"/>
        </w:rPr>
        <w:t xml:space="preserve">Ртищевским, </w:t>
      </w:r>
      <w:r>
        <w:rPr>
          <w:rFonts w:cs="PT Astra Serif"/>
          <w:sz w:val="28"/>
          <w:szCs w:val="28"/>
        </w:rPr>
        <w:t xml:space="preserve">Романовским, Балашовским, Аркадакским районами и </w:t>
      </w:r>
      <w:r>
        <w:rPr>
          <w:rFonts w:cs="PT Astra Serif"/>
          <w:sz w:val="28"/>
          <w:szCs w:val="28"/>
        </w:rPr>
        <w:t xml:space="preserve">Тамбовской областью. </w:t>
      </w:r>
    </w:p>
    <w:p>
      <w:pPr>
        <w:pStyle w:val="Normal"/>
        <w:bidi w:val="0"/>
        <w:jc w:val="both"/>
        <w:rPr/>
      </w:pPr>
      <w:r>
        <w:rPr>
          <w:rFonts w:eastAsia="PT Astra Serif" w:cs="PT Astra Serif"/>
          <w:sz w:val="28"/>
          <w:szCs w:val="28"/>
        </w:rPr>
        <w:t xml:space="preserve"> </w:t>
      </w:r>
      <w:r>
        <w:rPr>
          <w:rFonts w:cs="PT Astra Serif"/>
          <w:sz w:val="28"/>
          <w:szCs w:val="28"/>
        </w:rPr>
        <w:tab/>
        <w:t xml:space="preserve">Турковский муниципальный район один из самых отдаленных районов Саратовской области. Районный центр – р п. Турки, находится на расстоянии 270 км от г. Саратова. </w:t>
      </w:r>
      <w:r>
        <w:rPr>
          <w:rFonts w:cs="PT Astra Serif"/>
          <w:sz w:val="28"/>
          <w:szCs w:val="28"/>
        </w:rPr>
        <w:t xml:space="preserve">Прародительница поселка Турки — деревня Рысья. Она возникла в 1723 году. К концу 30-х годов XVIII века деревня стала </w:t>
      </w:r>
      <w:r>
        <w:rPr>
          <w:rFonts w:cs="PT Astra Serif"/>
          <w:sz w:val="28"/>
          <w:szCs w:val="28"/>
        </w:rPr>
        <w:t xml:space="preserve">называться с. Богородское. Во второй половине XIX века появилось названье Турки. Поселок возник в урочище Турковой горы и реки Хопер. </w:t>
      </w:r>
      <w:r>
        <w:rPr>
          <w:rFonts w:cs="PT Astra Serif"/>
          <w:sz w:val="28"/>
          <w:szCs w:val="28"/>
        </w:rPr>
        <w:t xml:space="preserve">  </w:t>
      </w:r>
    </w:p>
    <w:p>
      <w:pPr>
        <w:pStyle w:val="Normal"/>
        <w:bidi w:val="0"/>
        <w:ind w:start="0" w:end="0" w:firstLine="708"/>
        <w:jc w:val="both"/>
        <w:rPr/>
      </w:pPr>
      <w:r>
        <w:rPr>
          <w:rFonts w:cs="PT Astra Serif"/>
          <w:color w:val="000000"/>
          <w:sz w:val="28"/>
          <w:szCs w:val="28"/>
        </w:rPr>
        <w:t>Площадь района составляет 1,4 тыс. кв. км. В состав него входит 4 муниципальных образования и 46 населенных пунктов.</w:t>
      </w:r>
      <w:r>
        <w:rPr>
          <w:rFonts w:cs="PT Astra Serif"/>
          <w:color w:val="C9211E"/>
          <w:sz w:val="28"/>
          <w:szCs w:val="28"/>
        </w:rPr>
        <w:t xml:space="preserve"> </w:t>
      </w:r>
      <w:r>
        <w:rPr>
          <w:rFonts w:cs="PT Astra Serif"/>
          <w:color w:val="000000"/>
          <w:sz w:val="28"/>
          <w:szCs w:val="28"/>
        </w:rPr>
        <w:t xml:space="preserve">Численность постоянного населения </w:t>
      </w:r>
      <w:r>
        <w:rPr>
          <w:rFonts w:cs="PT Astra Serif"/>
          <w:color w:val="000000"/>
          <w:sz w:val="28"/>
          <w:szCs w:val="28"/>
        </w:rPr>
        <w:t xml:space="preserve">за три года сократилась на 460 человек и в настоящее время составляет </w:t>
      </w:r>
      <w:r>
        <w:rPr>
          <w:rFonts w:cs="PT Astra Serif"/>
          <w:color w:val="000000"/>
          <w:sz w:val="28"/>
          <w:szCs w:val="28"/>
        </w:rPr>
        <w:t>9,</w:t>
      </w:r>
      <w:r>
        <w:rPr>
          <w:rFonts w:cs="PT Astra Serif"/>
          <w:color w:val="000000"/>
          <w:sz w:val="28"/>
          <w:szCs w:val="28"/>
          <w:lang w:eastAsia="zh-CN"/>
        </w:rPr>
        <w:t>9</w:t>
      </w:r>
      <w:r>
        <w:rPr>
          <w:rFonts w:cs="PT Astra Serif"/>
          <w:color w:val="000000"/>
          <w:sz w:val="28"/>
          <w:szCs w:val="28"/>
        </w:rPr>
        <w:t xml:space="preserve"> тыс. человек. В рп. Турки – 5,4 тыс. человек. </w:t>
      </w:r>
    </w:p>
    <w:p>
      <w:pPr>
        <w:pStyle w:val="Normal"/>
        <w:bidi w:val="0"/>
        <w:ind w:start="0" w:end="0"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 xml:space="preserve">С районом связано имя Героя Советского Союза С.М. Иванова. Турковская земля — родина </w:t>
      </w:r>
      <w:r>
        <w:rPr>
          <w:rFonts w:cs="PT Astra Serif"/>
          <w:color w:val="000000"/>
          <w:sz w:val="28"/>
          <w:szCs w:val="28"/>
        </w:rPr>
        <w:t xml:space="preserve">советского шахматиста, международного гроссмейстера В. Алаторцева, </w:t>
      </w:r>
      <w:r>
        <w:rPr>
          <w:rFonts w:cs="PT Astra Serif"/>
          <w:color w:val="000000"/>
          <w:sz w:val="28"/>
          <w:szCs w:val="28"/>
        </w:rPr>
        <w:t xml:space="preserve">писателя Л.И. Гумилевского, </w:t>
      </w:r>
      <w:r>
        <w:rPr>
          <w:rFonts w:cs="PT Astra Serif"/>
          <w:color w:val="000000"/>
          <w:sz w:val="28"/>
          <w:szCs w:val="28"/>
        </w:rPr>
        <w:t>секретаря Союза композиторов России Е. Бикташева, русского поэта В. Станцева и дворянина, мецената В. Ченыкаева</w:t>
      </w:r>
      <w:r>
        <w:rPr>
          <w:rFonts w:cs="PT Astra Serif"/>
          <w:color w:val="000000"/>
          <w:sz w:val="28"/>
          <w:szCs w:val="28"/>
        </w:rPr>
        <w:t>.</w:t>
      </w:r>
    </w:p>
    <w:p>
      <w:pPr>
        <w:pStyle w:val="Normal"/>
        <w:bidi w:val="0"/>
        <w:ind w:start="0" w:end="0" w:firstLine="708"/>
        <w:jc w:val="both"/>
        <w:rPr>
          <w:rFonts w:ascii="PT Astra Serif" w:hAnsi="PT Astra Serif" w:cs="PT Astra Serif"/>
          <w:b/>
          <w:b/>
          <w:bCs/>
          <w:i/>
          <w:i/>
          <w:iCs/>
          <w:color w:val="000000"/>
          <w:sz w:val="28"/>
          <w:szCs w:val="28"/>
        </w:rPr>
      </w:pPr>
      <w:r>
        <w:rPr>
          <w:rFonts w:cs="PT Astra Serif"/>
          <w:b/>
          <w:bCs/>
          <w:i/>
          <w:iCs/>
          <w:color w:val="000000"/>
          <w:sz w:val="28"/>
          <w:szCs w:val="28"/>
        </w:rPr>
        <w:t>1.2. Ресурсно — сырьевой потенциал</w:t>
      </w:r>
    </w:p>
    <w:p>
      <w:pPr>
        <w:pStyle w:val="Normal"/>
        <w:bidi w:val="0"/>
        <w:ind w:start="0" w:end="0" w:firstLine="708"/>
        <w:jc w:val="both"/>
        <w:rPr/>
      </w:pPr>
      <w:r>
        <w:rPr>
          <w:rFonts w:cs="PT Astra Serif"/>
          <w:color w:val="000000"/>
          <w:sz w:val="28"/>
          <w:szCs w:val="28"/>
        </w:rPr>
        <w:t xml:space="preserve">- </w:t>
      </w:r>
      <w:r>
        <w:rPr>
          <w:rFonts w:cs="PT Astra Serif"/>
          <w:i/>
          <w:iCs/>
          <w:color w:val="000000"/>
          <w:sz w:val="28"/>
          <w:szCs w:val="28"/>
        </w:rPr>
        <w:t>водные ресурсы</w:t>
      </w:r>
    </w:p>
    <w:p>
      <w:pPr>
        <w:pStyle w:val="Normal"/>
        <w:bidi w:val="0"/>
        <w:ind w:start="0" w:end="0"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Район достаточно хорошо обеспечен водой. По территории района протекает река Хопер – крупный лево-бережный приток р. Дона, протяженностью – 43 км. Помимо Хопра в районе протекают небольшие речки: Карай, Щербедино, общей протяженностью – 70 км. Кроме этого в лесах района имеется множество больших и малых озер (275 прудов).</w:t>
      </w:r>
    </w:p>
    <w:p>
      <w:pPr>
        <w:pStyle w:val="Normal"/>
        <w:bidi w:val="0"/>
        <w:ind w:start="0" w:end="0" w:firstLine="708"/>
        <w:jc w:val="both"/>
        <w:rPr>
          <w:color w:val="C9211E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- </w:t>
      </w:r>
      <w:r>
        <w:rPr>
          <w:rFonts w:cs="PT Astra Serif" w:ascii="PT Astra Serif" w:hAnsi="PT Astra Serif"/>
          <w:i/>
          <w:iCs/>
          <w:color w:val="000000"/>
          <w:sz w:val="28"/>
          <w:szCs w:val="28"/>
        </w:rPr>
        <w:t>лесные ресурсы</w:t>
      </w:r>
    </w:p>
    <w:p>
      <w:pPr>
        <w:pStyle w:val="Normal"/>
        <w:bidi w:val="0"/>
        <w:ind w:start="0" w:end="0" w:firstLine="708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>Е</w:t>
      </w:r>
      <w:r>
        <w:rPr>
          <w:rFonts w:cs="PT Astra Serif" w:ascii="PT Astra Serif" w:hAnsi="PT Astra Serif"/>
          <w:color w:val="000000"/>
          <w:sz w:val="28"/>
          <w:szCs w:val="28"/>
        </w:rPr>
        <w:t>стественные леса и лесопосадки занимают 6,</w:t>
      </w:r>
      <w:r>
        <w:rPr>
          <w:rFonts w:cs="PT Astra Serif" w:ascii="PT Astra Serif" w:hAnsi="PT Astra Serif"/>
          <w:color w:val="000000"/>
          <w:sz w:val="28"/>
          <w:szCs w:val="28"/>
        </w:rPr>
        <w:t>4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% территории. Покрытая лесом площадь составляет 8,6 тыс. га, общий запас древесины – 660 тыс. куб.м., из них 340 тыс. куб. м. – твердолиственные, 320 тыс. куб. м. – лиственные. </w:t>
      </w:r>
      <w:r>
        <w:rPr>
          <w:rFonts w:cs="Times New Roman" w:ascii="PT Astra Serif" w:hAnsi="PT Astra Serif"/>
          <w:color w:val="000000"/>
          <w:sz w:val="28"/>
          <w:szCs w:val="28"/>
        </w:rPr>
        <w:t>На территории района произрастает 612 видов растений. Здесь растут сосны, дуб, липа, клен, черемуха, лещина и др. Во флоре области преобладают многолетние травянистые виды, лучше приспособленные к умеренно холодному климату.</w:t>
      </w:r>
    </w:p>
    <w:p>
      <w:pPr>
        <w:pStyle w:val="Normal"/>
        <w:bidi w:val="0"/>
        <w:ind w:start="0" w:end="0" w:firstLine="708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</w:rPr>
        <w:t>Л</w:t>
      </w:r>
      <w:r>
        <w:rPr>
          <w:rFonts w:cs="Times New Roman" w:ascii="PT Astra Serif" w:hAnsi="PT Astra Serif"/>
          <w:color w:val="000000"/>
          <w:sz w:val="28"/>
          <w:szCs w:val="28"/>
        </w:rPr>
        <w:t>еса района для промышленной переработки имеются в недостаточном количестве.</w:t>
      </w:r>
    </w:p>
    <w:p>
      <w:pPr>
        <w:pStyle w:val="Normal"/>
        <w:bidi w:val="0"/>
        <w:ind w:start="0" w:end="0" w:firstLine="708"/>
        <w:jc w:val="both"/>
        <w:rPr>
          <w:color w:val="C9211E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- </w:t>
      </w:r>
      <w:r>
        <w:rPr>
          <w:rFonts w:cs="Times New Roman" w:ascii="PT Astra Serif" w:hAnsi="PT Astra Serif"/>
          <w:i/>
          <w:iCs/>
          <w:color w:val="000000"/>
          <w:sz w:val="28"/>
          <w:szCs w:val="28"/>
        </w:rPr>
        <w:t>минерально — сырьевые ресурсы</w:t>
      </w:r>
    </w:p>
    <w:p>
      <w:pPr>
        <w:pStyle w:val="Normal"/>
        <w:bidi w:val="0"/>
        <w:ind w:start="0" w:end="0" w:firstLine="708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</w:rPr>
        <w:t>на территории района минерально — сырьевы</w:t>
      </w:r>
      <w:r>
        <w:rPr>
          <w:rFonts w:cs="Times New Roman" w:ascii="PT Astra Serif" w:hAnsi="PT Astra Serif"/>
          <w:color w:val="000000"/>
          <w:sz w:val="28"/>
          <w:szCs w:val="28"/>
        </w:rPr>
        <w:t>х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ресурс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ов в промышленных масштабах </w:t>
      </w:r>
      <w:r>
        <w:rPr>
          <w:rFonts w:cs="Times New Roman" w:ascii="PT Astra Serif" w:hAnsi="PT Astra Serif"/>
          <w:color w:val="000000"/>
          <w:sz w:val="28"/>
          <w:szCs w:val="28"/>
        </w:rPr>
        <w:t>не име</w:t>
      </w:r>
      <w:r>
        <w:rPr>
          <w:rFonts w:cs="Times New Roman" w:ascii="PT Astra Serif" w:hAnsi="PT Astra Serif"/>
          <w:color w:val="000000"/>
          <w:sz w:val="28"/>
          <w:szCs w:val="28"/>
        </w:rPr>
        <w:t>е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тся. </w:t>
      </w:r>
    </w:p>
    <w:p>
      <w:pPr>
        <w:pStyle w:val="Normal"/>
        <w:bidi w:val="0"/>
        <w:ind w:start="0" w:end="0" w:firstLine="708"/>
        <w:jc w:val="both"/>
        <w:rPr>
          <w:color w:val="C9211E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- </w:t>
      </w:r>
      <w:r>
        <w:rPr>
          <w:rFonts w:cs="Times New Roman" w:ascii="PT Astra Serif" w:hAnsi="PT Astra Serif"/>
          <w:i/>
          <w:iCs/>
          <w:color w:val="000000"/>
          <w:sz w:val="28"/>
          <w:szCs w:val="28"/>
        </w:rPr>
        <w:t>земельные ресурсы</w:t>
      </w:r>
    </w:p>
    <w:p>
      <w:pPr>
        <w:pStyle w:val="Normal"/>
        <w:bidi w:val="0"/>
        <w:ind w:start="0" w:end="0"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В пределах района преобладает тучный чернозем, который имеет более темную окраску (вышелочный). Мощность гумусного горизонта достигает 80-100 см. У тучного чернозема отчетливы зернистая структура и рыхлое сложение. Это одна из лучших почв нашей области. Бонитет почв равен 0.8-1.0. </w:t>
      </w:r>
    </w:p>
    <w:p>
      <w:pPr>
        <w:pStyle w:val="Normal"/>
        <w:bidi w:val="0"/>
        <w:jc w:val="both"/>
        <w:rPr/>
      </w:pPr>
      <w:r>
        <w:rPr>
          <w:rFonts w:cs="PT Astra Serif"/>
          <w:color w:val="C9211E"/>
        </w:rPr>
        <w:tab/>
      </w:r>
      <w:r>
        <w:rPr>
          <w:rFonts w:cs="PT Astra Serif"/>
          <w:color w:val="000000"/>
        </w:rPr>
        <w:t>И</w:t>
      </w:r>
      <w:r>
        <w:rPr>
          <w:rFonts w:cs="PT Astra Serif"/>
          <w:color w:val="000000"/>
          <w:sz w:val="28"/>
          <w:szCs w:val="28"/>
        </w:rPr>
        <w:t>з общей площади района (1</w:t>
      </w:r>
      <w:r>
        <w:rPr>
          <w:rFonts w:cs="PT Astra Serif"/>
          <w:color w:val="000000"/>
          <w:sz w:val="28"/>
          <w:szCs w:val="28"/>
        </w:rPr>
        <w:t>35</w:t>
      </w:r>
      <w:r>
        <w:rPr>
          <w:rFonts w:cs="PT Astra Serif"/>
          <w:color w:val="000000"/>
          <w:sz w:val="28"/>
          <w:szCs w:val="28"/>
        </w:rPr>
        <w:t xml:space="preserve"> тыс. га) площадь </w:t>
      </w:r>
      <w:r>
        <w:rPr>
          <w:rFonts w:cs="PT Astra Serif"/>
          <w:color w:val="000000"/>
          <w:sz w:val="28"/>
          <w:szCs w:val="28"/>
        </w:rPr>
        <w:t xml:space="preserve">земель сельхозназначения – 125,5 тыс. га </w:t>
      </w:r>
      <w:r>
        <w:rPr>
          <w:rFonts w:cs="PT Astra Serif"/>
          <w:color w:val="000000"/>
          <w:sz w:val="28"/>
          <w:szCs w:val="28"/>
        </w:rPr>
        <w:t>(</w:t>
      </w:r>
      <w:r>
        <w:rPr>
          <w:rFonts w:cs="PT Astra Serif"/>
          <w:color w:val="000000"/>
          <w:sz w:val="28"/>
          <w:szCs w:val="28"/>
        </w:rPr>
        <w:t>93</w:t>
      </w:r>
      <w:r>
        <w:rPr>
          <w:rFonts w:cs="PT Astra Serif"/>
          <w:color w:val="000000"/>
          <w:sz w:val="28"/>
          <w:szCs w:val="28"/>
        </w:rPr>
        <w:t>%)</w:t>
      </w:r>
      <w:r>
        <w:rPr>
          <w:rFonts w:cs="PT Astra Serif"/>
          <w:color w:val="000000"/>
          <w:sz w:val="28"/>
          <w:szCs w:val="28"/>
        </w:rPr>
        <w:t>, из них 99,</w:t>
      </w:r>
      <w:r>
        <w:rPr>
          <w:rFonts w:cs="PT Astra Serif"/>
          <w:color w:val="000000"/>
          <w:sz w:val="28"/>
          <w:szCs w:val="28"/>
          <w:lang w:eastAsia="zh-CN"/>
        </w:rPr>
        <w:t>2</w:t>
      </w:r>
      <w:r>
        <w:rPr>
          <w:rFonts w:cs="PT Astra Serif"/>
          <w:color w:val="000000"/>
          <w:sz w:val="28"/>
          <w:szCs w:val="28"/>
        </w:rPr>
        <w:t xml:space="preserve"> тыс. га – пашня, 20,4 тыс. га — пастбища, </w:t>
      </w:r>
      <w:r>
        <w:rPr>
          <w:rFonts w:cs="PT Astra Serif"/>
          <w:color w:val="000000"/>
          <w:sz w:val="28"/>
          <w:szCs w:val="28"/>
        </w:rPr>
        <w:t>лесного фонда — 8,6 тыс. га (6,</w:t>
      </w:r>
      <w:r>
        <w:rPr>
          <w:rFonts w:cs="PT Astra Serif"/>
          <w:color w:val="000000"/>
          <w:sz w:val="28"/>
          <w:szCs w:val="28"/>
        </w:rPr>
        <w:t>4</w:t>
      </w:r>
      <w:r>
        <w:rPr>
          <w:rFonts w:cs="PT Astra Serif"/>
          <w:color w:val="000000"/>
          <w:sz w:val="28"/>
          <w:szCs w:val="28"/>
        </w:rPr>
        <w:t>%).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ab/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Экономическое развитие и анализ деловой активности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01 января 2022 года на территории района функционировало 104 организации всех форм собственности. Состоит на учете в налоговой инспекции 199 индивидуальных предпринимателя. На территории района осуществляют свою деятельность 226 средних и малых предприятий различных отраслей экономики. 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Отраслевая специализация муниципального района, основные виды выпускаемой продукции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ab/>
      </w:r>
      <w:r>
        <w:rPr>
          <w:rFonts w:cs="PT Astra Serif"/>
          <w:color w:val="000000"/>
          <w:sz w:val="28"/>
          <w:szCs w:val="28"/>
        </w:rPr>
        <w:t xml:space="preserve">Основой экономики района является производство продукции </w:t>
      </w:r>
      <w:r>
        <w:rPr>
          <w:rFonts w:cs="PT Astra Serif"/>
          <w:color w:val="000000"/>
          <w:sz w:val="28"/>
          <w:szCs w:val="28"/>
        </w:rPr>
        <w:t xml:space="preserve">сельского хозяйства, основная специализация производство зерна. Основными культурами, выращиваемыми в районе, являются пшеница озимая и яровая, кукуруза на зерно, ячмень. Из технических культур — подсолнечник на зерно </w:t>
      </w:r>
      <w:r>
        <w:rPr>
          <w:rFonts w:cs="PT Astra Serif"/>
          <w:color w:val="000000"/>
          <w:sz w:val="28"/>
          <w:szCs w:val="28"/>
        </w:rPr>
        <w:t>и соя</w:t>
      </w:r>
      <w:r>
        <w:rPr>
          <w:rFonts w:cs="PT Astra Serif"/>
          <w:color w:val="000000"/>
          <w:sz w:val="28"/>
          <w:szCs w:val="28"/>
        </w:rPr>
        <w:t xml:space="preserve">. 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ab/>
      </w:r>
      <w:r>
        <w:rPr>
          <w:rFonts w:cs="PT Astra Serif" w:ascii="PT Astra Serif" w:hAnsi="PT Astra Serif"/>
          <w:color w:val="000000"/>
          <w:sz w:val="28"/>
          <w:szCs w:val="28"/>
        </w:rPr>
        <w:t>В 2021 году объем валовой продукции сельского хозяйства составил 4,7 млрд. рублей, что на 0,4 млрд. рублей меньше показателя за 2020 год, в том числе от растениеводства 4,3 млрд. рублей. На одного жителя района произведено 13,8 т зерна, 6,2 т молока, 0,2 т. мяса.</w:t>
      </w:r>
    </w:p>
    <w:p>
      <w:pPr>
        <w:pStyle w:val="Normal"/>
        <w:bidi w:val="0"/>
        <w:ind w:start="0" w:end="0" w:firstLine="708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>Валовой сбор зерновых и зернобобовых культур в 201</w:t>
      </w:r>
      <w:r>
        <w:rPr>
          <w:rFonts w:eastAsia="Times New Roman" w:cs="PT Astra Serif" w:ascii="PT Astra Serif" w:hAnsi="PT Astra Serif"/>
          <w:bCs/>
          <w:color w:val="auto"/>
          <w:sz w:val="28"/>
          <w:szCs w:val="28"/>
          <w:lang w:val="ru-RU" w:eastAsia="zh-CN" w:bidi="ar-SA"/>
        </w:rPr>
        <w:t>8</w:t>
      </w:r>
      <w:r>
        <w:rPr>
          <w:rFonts w:cs="PT Astra Serif" w:ascii="PT Astra Serif" w:hAnsi="PT Astra Serif"/>
          <w:bCs/>
          <w:sz w:val="28"/>
          <w:szCs w:val="28"/>
        </w:rPr>
        <w:t>- 202</w:t>
      </w:r>
      <w:r>
        <w:rPr>
          <w:rFonts w:eastAsia="Times New Roman" w:cs="PT Astra Serif" w:ascii="PT Astra Serif" w:hAnsi="PT Astra Serif"/>
          <w:bCs/>
          <w:color w:val="auto"/>
          <w:sz w:val="28"/>
          <w:szCs w:val="28"/>
          <w:lang w:val="ru-RU" w:eastAsia="zh-CN" w:bidi="ar-SA"/>
        </w:rPr>
        <w:t xml:space="preserve">2 </w:t>
      </w:r>
      <w:r>
        <w:rPr>
          <w:rFonts w:cs="PT Astra Serif" w:ascii="PT Astra Serif" w:hAnsi="PT Astra Serif"/>
          <w:bCs/>
          <w:sz w:val="28"/>
          <w:szCs w:val="28"/>
        </w:rPr>
        <w:t xml:space="preserve">годах составил свыше ста тысяч тонн, это произошло вследствие того, что </w:t>
      </w:r>
      <w:r>
        <w:rPr>
          <w:rFonts w:cs="PT Astra Serif" w:ascii="PT Astra Serif" w:hAnsi="PT Astra Serif"/>
          <w:sz w:val="28"/>
          <w:szCs w:val="28"/>
        </w:rPr>
        <w:t xml:space="preserve">за последние 6 лет в структуру  посевных площадей была введена высокоурожайная культура - кукуруза на зерно. Благодаря этому существенно увеличился валовой сбор зерна. </w:t>
      </w:r>
    </w:p>
    <w:p>
      <w:pPr>
        <w:pStyle w:val="Normal"/>
        <w:bidi w:val="0"/>
        <w:ind w:start="0" w:end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Доля валового сбора кукурузы на зерно от общего валового сбора зерновых и зернобобовых культур составляет 40-</w:t>
      </w:r>
      <w:r>
        <w:rPr>
          <w:rFonts w:cs="PT Astra Serif" w:ascii="PT Astra Serif" w:hAnsi="PT Astra Serif"/>
          <w:sz w:val="28"/>
          <w:szCs w:val="28"/>
        </w:rPr>
        <w:t>45</w:t>
      </w:r>
      <w:r>
        <w:rPr>
          <w:rFonts w:cs="PT Astra Serif" w:ascii="PT Astra Serif" w:hAnsi="PT Astra Serif"/>
          <w:sz w:val="28"/>
          <w:szCs w:val="28"/>
        </w:rPr>
        <w:t xml:space="preserve">%.  </w:t>
      </w:r>
    </w:p>
    <w:p>
      <w:pPr>
        <w:pStyle w:val="Normal"/>
        <w:bidi w:val="0"/>
        <w:ind w:start="0" w:end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Основными производителями данной культуры в Турковском районе являются ООО «Агрос» и ООО «Ромашовка». Производство зерна кукурузы довольно дорогостоящее и энергозатратное, предусматривает комплексное применение удобрений и последующую сушку зерна в процессе уборки. Вследствие расширения площадей под кукурузу сельхозтоваропроизводителями района построено и введено в эксплуатацию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11</w:t>
      </w:r>
      <w:r>
        <w:rPr>
          <w:rFonts w:cs="PT Astra Serif" w:ascii="PT Astra Serif" w:hAnsi="PT Astra Serif"/>
          <w:sz w:val="28"/>
          <w:szCs w:val="28"/>
        </w:rPr>
        <w:t xml:space="preserve"> зерносушильных комплексов общей производительностью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4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0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0</w:t>
      </w:r>
      <w:r>
        <w:rPr>
          <w:rFonts w:cs="PT Astra Serif" w:ascii="PT Astra Serif" w:hAnsi="PT Astra Serif"/>
          <w:sz w:val="28"/>
          <w:szCs w:val="28"/>
        </w:rPr>
        <w:t xml:space="preserve"> тонн в час.</w:t>
      </w:r>
    </w:p>
    <w:p>
      <w:pPr>
        <w:pStyle w:val="NoSpacing"/>
        <w:bidi w:val="0"/>
        <w:ind w:start="0" w:end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Реализация данного проекта является важным этапом в развитии сельскохозяйственного производства: улучшилась организация приема, размещения и хранения продукции растениеводства. Объем инвестиций в строительство составил 1</w:t>
      </w:r>
      <w:r>
        <w:rPr>
          <w:rFonts w:cs="PT Astra Serif" w:ascii="PT Astra Serif" w:hAnsi="PT Astra Serif"/>
          <w:sz w:val="28"/>
          <w:szCs w:val="28"/>
        </w:rPr>
        <w:t>6</w:t>
      </w:r>
      <w:r>
        <w:rPr>
          <w:rFonts w:cs="PT Astra Serif" w:ascii="PT Astra Serif" w:hAnsi="PT Astra Serif"/>
          <w:sz w:val="28"/>
          <w:szCs w:val="28"/>
        </w:rPr>
        <w:t xml:space="preserve">0 млн. руб. </w:t>
      </w:r>
    </w:p>
    <w:p>
      <w:pPr>
        <w:pStyle w:val="Normal"/>
        <w:bidi w:val="0"/>
        <w:ind w:start="0" w:end="0" w:firstLine="709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 </w:t>
      </w:r>
      <w:r>
        <w:rPr>
          <w:rFonts w:cs="PT Astra Serif" w:ascii="PT Astra Serif" w:hAnsi="PT Astra Serif"/>
          <w:sz w:val="28"/>
          <w:szCs w:val="28"/>
        </w:rPr>
        <w:t>В 201</w:t>
      </w:r>
      <w:r>
        <w:rPr>
          <w:rFonts w:cs="PT Astra Serif" w:ascii="PT Astra Serif" w:hAnsi="PT Astra Serif"/>
          <w:sz w:val="28"/>
          <w:szCs w:val="28"/>
        </w:rPr>
        <w:t>7</w:t>
      </w:r>
      <w:r>
        <w:rPr>
          <w:rFonts w:cs="PT Astra Serif" w:ascii="PT Astra Serif" w:hAnsi="PT Astra Serif"/>
          <w:sz w:val="28"/>
          <w:szCs w:val="28"/>
        </w:rPr>
        <w:t xml:space="preserve"> году Турковский район впервые принял участие в федеральной программе развития мелиорации земель на территории РФ. </w:t>
      </w:r>
      <w:r>
        <w:rPr>
          <w:rFonts w:cs="PT Astra Serif" w:ascii="PT Astra Serif" w:hAnsi="PT Astra Serif"/>
          <w:sz w:val="28"/>
          <w:szCs w:val="28"/>
        </w:rPr>
        <w:t xml:space="preserve">В </w:t>
      </w:r>
      <w:r>
        <w:rPr>
          <w:rFonts w:cs="PT Astra Serif" w:ascii="PT Astra Serif" w:hAnsi="PT Astra Serif"/>
          <w:sz w:val="28"/>
          <w:szCs w:val="28"/>
        </w:rPr>
        <w:t>202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 xml:space="preserve">2 </w:t>
      </w:r>
      <w:r>
        <w:rPr>
          <w:rFonts w:cs="PT Astra Serif" w:ascii="PT Astra Serif" w:hAnsi="PT Astra Serif"/>
          <w:sz w:val="28"/>
          <w:szCs w:val="28"/>
        </w:rPr>
        <w:t xml:space="preserve">году общая площадь </w:t>
      </w:r>
      <w:r>
        <w:rPr>
          <w:rFonts w:cs="PT Astra Serif" w:ascii="PT Astra Serif" w:hAnsi="PT Astra Serif"/>
          <w:sz w:val="28"/>
          <w:szCs w:val="28"/>
        </w:rPr>
        <w:t xml:space="preserve">полива </w:t>
      </w:r>
      <w:r>
        <w:rPr>
          <w:rFonts w:cs="PT Astra Serif" w:ascii="PT Astra Serif" w:hAnsi="PT Astra Serif"/>
          <w:sz w:val="28"/>
          <w:szCs w:val="28"/>
        </w:rPr>
        <w:t xml:space="preserve">составила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2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5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01</w:t>
      </w:r>
      <w:r>
        <w:rPr>
          <w:rFonts w:cs="PT Astra Serif" w:ascii="PT Astra Serif" w:hAnsi="PT Astra Serif"/>
          <w:sz w:val="28"/>
          <w:szCs w:val="28"/>
        </w:rPr>
        <w:t xml:space="preserve"> га. Общий объём инвестиций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4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36</w:t>
      </w:r>
      <w:r>
        <w:rPr>
          <w:rFonts w:cs="PT Astra Serif" w:ascii="PT Astra Serif" w:hAnsi="PT Astra Serif"/>
          <w:sz w:val="28"/>
          <w:szCs w:val="28"/>
        </w:rPr>
        <w:t xml:space="preserve"> млн. руб. </w:t>
        <w:tab/>
        <w:t>Выращивая кукурузу на зерно на орошении урожайность этой культуры в среднем составляет 1</w:t>
      </w:r>
      <w:r>
        <w:rPr>
          <w:rFonts w:cs="PT Astra Serif" w:ascii="PT Astra Serif" w:hAnsi="PT Astra Serif"/>
          <w:sz w:val="28"/>
          <w:szCs w:val="28"/>
        </w:rPr>
        <w:t>3</w:t>
      </w:r>
      <w:r>
        <w:rPr>
          <w:rFonts w:cs="PT Astra Serif" w:ascii="PT Astra Serif" w:hAnsi="PT Astra Serif"/>
          <w:sz w:val="28"/>
          <w:szCs w:val="28"/>
        </w:rPr>
        <w:t xml:space="preserve">0-140 ц/га, что выше на 35-40% чем  выращивание кукурузы на зерно на богарных землях. </w:t>
      </w:r>
      <w:r>
        <w:rPr>
          <w:rFonts w:cs="PT Astra Serif" w:ascii="PT Astra Serif" w:hAnsi="PT Astra Serif"/>
          <w:sz w:val="28"/>
          <w:szCs w:val="28"/>
        </w:rPr>
        <w:t xml:space="preserve">На 2023 год запланирован ввод в эксплуатацию орошаемый клин 165 га с общим объемом инвестиций 40 млн. руб. </w:t>
      </w:r>
    </w:p>
    <w:p>
      <w:pPr>
        <w:pStyle w:val="Normal"/>
        <w:bidi w:val="0"/>
        <w:ind w:start="0" w:end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Сельхозтоваропроизводители Турковского района инвестировали в основной капитал с 2020 по 2022 год 929 млн. руб., в том числе приобретено 23 ед. комбайна и 47 ед. тракторов. В 2023-2024 годах планируется инвестировать в собственное производство 700-800 млн. руб. </w:t>
      </w:r>
      <w:r>
        <w:rPr>
          <w:rFonts w:cs="PT Astra Serif" w:ascii="PT Astra Serif" w:hAnsi="PT Astra Serif"/>
          <w:sz w:val="28"/>
          <w:szCs w:val="28"/>
        </w:rPr>
        <w:t xml:space="preserve"> </w:t>
      </w:r>
    </w:p>
    <w:p>
      <w:pPr>
        <w:pStyle w:val="Normal"/>
        <w:bidi w:val="0"/>
        <w:ind w:start="0" w:end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 xml:space="preserve">В 2021 году на территории района был реализован проект по строительству Ромашовского элеватора с объемом хранения 60 тыс. тонн и объемом инвестиций на сумму 146 млн. руб. Было создано 9 рабочих мест с заработной платой 35-40 тыс. руб.  </w:t>
      </w:r>
    </w:p>
    <w:p>
      <w:pPr>
        <w:pStyle w:val="Normal"/>
        <w:bidi w:val="0"/>
        <w:ind w:start="0" w:end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 xml:space="preserve">В 2022 году на базе хозяйств ООО «Альменда», ИП глава КФХ Демкин А.Н., ООО «Ромашовка» начали реализацию три проекта по строительству зерносушильных комплексов с общим объемом инвестиций 100,0 млн. руб., срок реализации 2023 год. </w:t>
      </w:r>
    </w:p>
    <w:p>
      <w:pPr>
        <w:pStyle w:val="Normal"/>
        <w:bidi w:val="0"/>
        <w:ind w:start="0" w:end="0" w:firstLine="540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Пищевая отрасль — производство </w:t>
      </w:r>
      <w:r>
        <w:rPr>
          <w:rFonts w:cs="PT Astra Serif"/>
          <w:b w:val="false"/>
          <w:bCs w:val="false"/>
          <w:i w:val="false"/>
          <w:iCs w:val="false"/>
          <w:color w:val="000000"/>
          <w:sz w:val="28"/>
          <w:szCs w:val="28"/>
        </w:rPr>
        <w:t>хлеба и мучных изделий – ООО «Виктория- Л», ИП Моисеев О.А.</w:t>
      </w:r>
    </w:p>
    <w:p>
      <w:pPr>
        <w:pStyle w:val="Normal"/>
        <w:bidi w:val="0"/>
        <w:ind w:start="0" w:end="0" w:firstLine="540"/>
        <w:jc w:val="center"/>
        <w:rPr>
          <w:rFonts w:ascii="PT Astra Serif" w:hAnsi="PT Astra Serif" w:cs="PT Astra Serif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PT Astra Serif"/>
          <w:b/>
          <w:bCs/>
          <w:i w:val="false"/>
          <w:iCs w:val="false"/>
          <w:color w:val="000000"/>
          <w:sz w:val="28"/>
          <w:szCs w:val="28"/>
        </w:rPr>
        <w:t>Ведущие предприятия района</w:t>
      </w:r>
    </w:p>
    <w:tbl>
      <w:tblPr>
        <w:tblW w:w="14564" w:type="dxa"/>
        <w:jc w:val="start"/>
        <w:tblInd w:w="-2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428"/>
        <w:gridCol w:w="2428"/>
        <w:gridCol w:w="2429"/>
        <w:gridCol w:w="1729"/>
        <w:gridCol w:w="1868"/>
        <w:gridCol w:w="3682"/>
      </w:tblGrid>
      <w:tr>
        <w:trPr/>
        <w:tc>
          <w:tcPr>
            <w:tcW w:w="24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4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Отрасль и номенклатура основной продукции</w:t>
            </w:r>
          </w:p>
        </w:tc>
        <w:tc>
          <w:tcPr>
            <w:tcW w:w="24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отгруженных товаров, млн. руб., 2021 год</w:t>
            </w:r>
          </w:p>
        </w:tc>
        <w:tc>
          <w:tcPr>
            <w:tcW w:w="17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сотрудников, чел.</w:t>
            </w:r>
          </w:p>
        </w:tc>
        <w:tc>
          <w:tcPr>
            <w:tcW w:w="18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загрузки производства, %</w:t>
            </w:r>
          </w:p>
        </w:tc>
        <w:tc>
          <w:tcPr>
            <w:tcW w:w="368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Реализуемые инвестиционные проекты на предприятии</w:t>
            </w:r>
          </w:p>
        </w:tc>
      </w:tr>
      <w:tr>
        <w:trPr/>
        <w:tc>
          <w:tcPr>
            <w:tcW w:w="242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«Ромашовка»</w:t>
            </w:r>
          </w:p>
        </w:tc>
        <w:tc>
          <w:tcPr>
            <w:tcW w:w="242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24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331,9</w:t>
            </w:r>
          </w:p>
        </w:tc>
        <w:tc>
          <w:tcPr>
            <w:tcW w:w="17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8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 развитию региональной мелиоративной системы</w:t>
            </w:r>
          </w:p>
        </w:tc>
      </w:tr>
      <w:tr>
        <w:trPr/>
        <w:tc>
          <w:tcPr>
            <w:tcW w:w="242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/>
            </w:pPr>
            <w:r>
              <w:rPr>
                <w:rStyle w:val="Style14"/>
                <w:rFonts w:cs="PT Astra Serif"/>
                <w:color w:val="000000"/>
                <w:sz w:val="28"/>
                <w:szCs w:val="28"/>
              </w:rPr>
              <w:t>ООО «Агрос»</w:t>
            </w:r>
          </w:p>
        </w:tc>
        <w:tc>
          <w:tcPr>
            <w:tcW w:w="242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растениеводство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rStyle w:val="Style14"/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24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738,3</w:t>
            </w:r>
          </w:p>
        </w:tc>
        <w:tc>
          <w:tcPr>
            <w:tcW w:w="17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8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8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Проекты по строительству овцефермы и роботизированной молочно -товарной фермы </w:t>
            </w:r>
          </w:p>
        </w:tc>
      </w:tr>
      <w:tr>
        <w:trPr/>
        <w:tc>
          <w:tcPr>
            <w:tcW w:w="242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КХ «Рубин»</w:t>
            </w:r>
          </w:p>
        </w:tc>
        <w:tc>
          <w:tcPr>
            <w:tcW w:w="242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24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  <w:tc>
          <w:tcPr>
            <w:tcW w:w="17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8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 строительству зернохранилищ</w:t>
            </w:r>
          </w:p>
        </w:tc>
      </w:tr>
      <w:tr>
        <w:trPr/>
        <w:tc>
          <w:tcPr>
            <w:tcW w:w="242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/>
            </w:pPr>
            <w:r>
              <w:rPr>
                <w:rStyle w:val="Style14"/>
                <w:rFonts w:cs="PT Astra Serif"/>
                <w:color w:val="000000"/>
                <w:sz w:val="28"/>
                <w:szCs w:val="28"/>
              </w:rPr>
              <w:t>ООО «Виктория- Л»</w:t>
            </w:r>
          </w:p>
        </w:tc>
        <w:tc>
          <w:tcPr>
            <w:tcW w:w="242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4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7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8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Style15"/>
        <w:bidi w:val="0"/>
        <w:ind w:start="0" w:end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Предприятия, находящиеся в тяжелом финансовом или предбанкротном состоянии</w:t>
      </w:r>
    </w:p>
    <w:tbl>
      <w:tblPr>
        <w:tblW w:w="1456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829"/>
        <w:gridCol w:w="2830"/>
        <w:gridCol w:w="2830"/>
        <w:gridCol w:w="2830"/>
        <w:gridCol w:w="3245"/>
      </w:tblGrid>
      <w:tr>
        <w:trPr/>
        <w:tc>
          <w:tcPr>
            <w:tcW w:w="28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предприятия </w:t>
            </w:r>
          </w:p>
        </w:tc>
        <w:tc>
          <w:tcPr>
            <w:tcW w:w="28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Контактные данные</w:t>
            </w:r>
          </w:p>
        </w:tc>
        <w:tc>
          <w:tcPr>
            <w:tcW w:w="28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8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Причины </w:t>
            </w:r>
          </w:p>
        </w:tc>
        <w:tc>
          <w:tcPr>
            <w:tcW w:w="324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Предложения, возможные пути решения</w:t>
            </w:r>
          </w:p>
        </w:tc>
      </w:tr>
      <w:tr>
        <w:trPr/>
        <w:tc>
          <w:tcPr>
            <w:tcW w:w="28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yle14"/>
                <w:color w:val="000000"/>
                <w:sz w:val="28"/>
                <w:szCs w:val="28"/>
              </w:rPr>
              <w:t xml:space="preserve">МУП «ЖКХ </w:t>
            </w:r>
            <w:r>
              <w:rPr>
                <w:rStyle w:val="Style14"/>
                <w:color w:val="000000"/>
                <w:sz w:val="28"/>
                <w:szCs w:val="28"/>
              </w:rPr>
              <w:t>Турковского района»</w:t>
            </w:r>
          </w:p>
        </w:tc>
        <w:tc>
          <w:tcPr>
            <w:tcW w:w="28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— Ярославцев Сергей Владимирович, 8(84543)2-12-31</w:t>
            </w:r>
          </w:p>
        </w:tc>
        <w:tc>
          <w:tcPr>
            <w:tcW w:w="28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пара и горячей воды (тепловой энергии) котельными</w:t>
            </w:r>
          </w:p>
        </w:tc>
        <w:tc>
          <w:tcPr>
            <w:tcW w:w="28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Дебиторская задолженность населения за оказанные услуги</w:t>
            </w:r>
          </w:p>
        </w:tc>
        <w:tc>
          <w:tcPr>
            <w:tcW w:w="324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претензионной работы</w:t>
            </w:r>
          </w:p>
        </w:tc>
      </w:tr>
    </w:tbl>
    <w:p>
      <w:pPr>
        <w:pStyle w:val="Style15"/>
        <w:bidi w:val="0"/>
        <w:ind w:start="0" w:end="0" w:firstLine="709"/>
        <w:jc w:val="center"/>
        <w:rPr>
          <w:rStyle w:val="Style14"/>
          <w:b/>
          <w:b/>
          <w:bCs/>
          <w:sz w:val="28"/>
          <w:szCs w:val="28"/>
        </w:rPr>
      </w:pPr>
      <w:r>
        <w:rPr/>
      </w:r>
    </w:p>
    <w:p>
      <w:pPr>
        <w:pStyle w:val="Normal"/>
        <w:shd w:fill="FFFFFF" w:val="clear"/>
        <w:bidi w:val="0"/>
        <w:spacing w:before="0" w:after="167"/>
        <w:ind w:start="0" w:end="0" w:firstLine="709"/>
        <w:contextualSpacing/>
        <w:jc w:val="both"/>
        <w:rPr/>
      </w:pPr>
      <w:r>
        <w:rPr>
          <w:color w:val="111111"/>
          <w:sz w:val="32"/>
          <w:szCs w:val="32"/>
        </w:rPr>
        <w:t xml:space="preserve">  </w:t>
      </w:r>
      <w:r>
        <w:rPr>
          <w:b/>
          <w:bCs/>
          <w:sz w:val="28"/>
          <w:szCs w:val="28"/>
        </w:rPr>
        <w:t>2.2. Промышленность</w:t>
      </w:r>
    </w:p>
    <w:tbl>
      <w:tblPr>
        <w:tblW w:w="1456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6232"/>
        <w:gridCol w:w="1936"/>
        <w:gridCol w:w="2032"/>
        <w:gridCol w:w="1814"/>
        <w:gridCol w:w="2550"/>
      </w:tblGrid>
      <w:tr>
        <w:trPr/>
        <w:tc>
          <w:tcPr>
            <w:tcW w:w="62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9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0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81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5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прогноз</w:t>
            </w:r>
          </w:p>
        </w:tc>
      </w:tr>
      <w:tr>
        <w:trPr/>
        <w:tc>
          <w:tcPr>
            <w:tcW w:w="62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отгруженных товаров собственного производства, выполнен</w:t>
            </w:r>
            <w:r>
              <w:rPr>
                <w:sz w:val="28"/>
                <w:szCs w:val="28"/>
              </w:rPr>
              <w:t xml:space="preserve">ных </w:t>
            </w:r>
            <w:r>
              <w:rPr>
                <w:sz w:val="28"/>
                <w:szCs w:val="28"/>
              </w:rPr>
              <w:t>работ и услуг собственными силам, млн. руб.</w:t>
            </w:r>
          </w:p>
        </w:tc>
        <w:tc>
          <w:tcPr>
            <w:tcW w:w="1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  <w:tc>
          <w:tcPr>
            <w:tcW w:w="20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37,1</w:t>
            </w:r>
          </w:p>
        </w:tc>
        <w:tc>
          <w:tcPr>
            <w:tcW w:w="18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25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>
        <w:trPr/>
        <w:tc>
          <w:tcPr>
            <w:tcW w:w="62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промышленного производства, %</w:t>
            </w:r>
          </w:p>
        </w:tc>
        <w:tc>
          <w:tcPr>
            <w:tcW w:w="1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  <w:tc>
          <w:tcPr>
            <w:tcW w:w="20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18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  <w:tc>
          <w:tcPr>
            <w:tcW w:w="25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</w:tr>
    </w:tbl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предприятиями, которые формируют объем, являются: МУП «ЖКХ Турковского района» (теплоэнергия, вода) и ООО «Виктория-Л» (производство хлеба и мучных изделий). Уровень загрузки предприятий составляет 100%. 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Приоритетные задачи в промышленности: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МУП «ЖКХ Турковского района»: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модернизация и техническое перевооружение производства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результаты: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объема отгруженных товаров собственного производства;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снижение издержек производства.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ООО «Виктория-Л»: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техническое перевооружение производства;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мощностей предприяти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обеспечи</w:t>
      </w:r>
      <w:r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производство конечной продукции </w:t>
      </w:r>
      <w:r>
        <w:rPr>
          <w:color w:val="000000"/>
          <w:sz w:val="28"/>
          <w:szCs w:val="28"/>
        </w:rPr>
        <w:t xml:space="preserve">(хлеба и выпечки) </w:t>
      </w:r>
      <w:r>
        <w:rPr>
          <w:color w:val="000000"/>
          <w:sz w:val="28"/>
          <w:szCs w:val="28"/>
        </w:rPr>
        <w:t xml:space="preserve">с учетом требований конкурентоспособности и емкости рынка </w:t>
      </w:r>
      <w:r>
        <w:rPr>
          <w:color w:val="000000"/>
          <w:sz w:val="28"/>
          <w:szCs w:val="28"/>
        </w:rPr>
        <w:t>и позволит выйти в соседние районы.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результаты: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объема отгруженных товаров собственного производства;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улучшение потребительских свойств товаров, расширение ассортимента выпускаемой продукции, снижение издержек производства. 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Сельское хозяйство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района зарегистрировано 66 сельскохозяйственных предприятий, из них 56 крестьянско — фермерские хозяйства, 10 — обществ с ограниченной ответственностью.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площадь сельхозугодий 99,2 </w:t>
      </w:r>
      <w:r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га, их них: фермерские угодья 53,3 </w:t>
      </w:r>
      <w:r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га.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Используемая площадь пашни всего 99,2 тыс. га или 100% к имеющейся площади, посевная площадь составляет 80,2 тыс. га, в том числе: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 посев зерновых и зернобобовых культур 45,2 тыс. га </w:t>
      </w:r>
      <w:r>
        <w:rPr>
          <w:sz w:val="28"/>
          <w:szCs w:val="28"/>
        </w:rPr>
        <w:t>(56,4%)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 посев технических культур 33,5 тыс. га </w:t>
      </w:r>
      <w:r>
        <w:rPr>
          <w:sz w:val="28"/>
          <w:szCs w:val="28"/>
        </w:rPr>
        <w:t>(41,8%)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посадку картофеля и овощебахчевые культуры 491 га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посадку кормовых культур 1,0 тыс. га.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>Основные показатели:</w:t>
      </w:r>
    </w:p>
    <w:tbl>
      <w:tblPr>
        <w:tblW w:w="1456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6518"/>
        <w:gridCol w:w="1868"/>
        <w:gridCol w:w="1937"/>
        <w:gridCol w:w="1977"/>
        <w:gridCol w:w="2264"/>
      </w:tblGrid>
      <w:tr>
        <w:trPr/>
        <w:tc>
          <w:tcPr>
            <w:tcW w:w="6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8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прогноз</w:t>
            </w:r>
          </w:p>
        </w:tc>
      </w:tr>
      <w:tr>
        <w:trPr/>
        <w:tc>
          <w:tcPr>
            <w:tcW w:w="65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 сельского хозяйства, млн. руб.</w:t>
            </w:r>
          </w:p>
        </w:tc>
        <w:tc>
          <w:tcPr>
            <w:tcW w:w="18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2763,7</w:t>
            </w:r>
          </w:p>
        </w:tc>
        <w:tc>
          <w:tcPr>
            <w:tcW w:w="19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4278,2</w:t>
            </w:r>
          </w:p>
        </w:tc>
        <w:tc>
          <w:tcPr>
            <w:tcW w:w="19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4834,1</w:t>
            </w:r>
          </w:p>
        </w:tc>
        <w:tc>
          <w:tcPr>
            <w:tcW w:w="22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5618</w:t>
            </w:r>
          </w:p>
        </w:tc>
      </w:tr>
      <w:tr>
        <w:trPr/>
        <w:tc>
          <w:tcPr>
            <w:tcW w:w="65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 производства </w:t>
            </w:r>
            <w:r>
              <w:rPr>
                <w:sz w:val="28"/>
                <w:szCs w:val="28"/>
              </w:rPr>
              <w:t>продукции сельского хозяйства, % к предыдущему году в сопоставимых ценах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  <w:tc>
          <w:tcPr>
            <w:tcW w:w="19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122,3</w:t>
            </w:r>
          </w:p>
        </w:tc>
        <w:tc>
          <w:tcPr>
            <w:tcW w:w="19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</w:t>
            </w:r>
          </w:p>
        </w:tc>
        <w:tc>
          <w:tcPr>
            <w:tcW w:w="22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>
        <w:trPr/>
        <w:tc>
          <w:tcPr>
            <w:tcW w:w="65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зерна (в весе после доработки), тыс. тонн</w:t>
            </w:r>
          </w:p>
        </w:tc>
        <w:tc>
          <w:tcPr>
            <w:tcW w:w="18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  <w:tc>
          <w:tcPr>
            <w:tcW w:w="19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  <w:tc>
          <w:tcPr>
            <w:tcW w:w="19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140,7</w:t>
            </w:r>
          </w:p>
        </w:tc>
        <w:tc>
          <w:tcPr>
            <w:tcW w:w="22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141,6</w:t>
            </w:r>
          </w:p>
        </w:tc>
      </w:tr>
      <w:tr>
        <w:trPr/>
        <w:tc>
          <w:tcPr>
            <w:tcW w:w="65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sz w:val="28"/>
                <w:szCs w:val="28"/>
              </w:rPr>
              <w:t xml:space="preserve">Валовый сбор </w:t>
            </w:r>
            <w:r>
              <w:rPr>
                <w:sz w:val="28"/>
                <w:szCs w:val="28"/>
              </w:rPr>
              <w:t>семян масличных культур — всего, тыс. тонн</w:t>
            </w:r>
          </w:p>
        </w:tc>
        <w:tc>
          <w:tcPr>
            <w:tcW w:w="18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19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19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  <w:tc>
          <w:tcPr>
            <w:tcW w:w="22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</w:tr>
      <w:tr>
        <w:trPr/>
        <w:tc>
          <w:tcPr>
            <w:tcW w:w="65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подсолнечника, тыс. тонн</w:t>
            </w:r>
          </w:p>
        </w:tc>
        <w:tc>
          <w:tcPr>
            <w:tcW w:w="18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  <w:tc>
          <w:tcPr>
            <w:tcW w:w="19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  <w:tc>
          <w:tcPr>
            <w:tcW w:w="19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  <w:tc>
          <w:tcPr>
            <w:tcW w:w="22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</w:tr>
      <w:tr>
        <w:trPr/>
        <w:tc>
          <w:tcPr>
            <w:tcW w:w="65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картофеля, тыс. тонн</w:t>
            </w:r>
          </w:p>
        </w:tc>
        <w:tc>
          <w:tcPr>
            <w:tcW w:w="18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22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>
        <w:trPr/>
        <w:tc>
          <w:tcPr>
            <w:tcW w:w="65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овощей, тыс. тонн</w:t>
            </w:r>
          </w:p>
        </w:tc>
        <w:tc>
          <w:tcPr>
            <w:tcW w:w="18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9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9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2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</w:tbl>
    <w:p>
      <w:pPr>
        <w:pStyle w:val="Normal"/>
        <w:bidi w:val="0"/>
        <w:jc w:val="both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ab/>
      </w:r>
    </w:p>
    <w:p>
      <w:pPr>
        <w:pStyle w:val="Normal"/>
        <w:bidi w:val="0"/>
        <w:jc w:val="both"/>
        <w:rPr>
          <w:rFonts w:ascii="PT Astra Serif" w:hAnsi="PT Astra Serif" w:cs="PT Astra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ab/>
        <w:t xml:space="preserve">В Турковском муниципальном районе животноводческую деятельность ведут две сельскохозяйственные организации и два КФХ. </w:t>
      </w:r>
    </w:p>
    <w:p>
      <w:pPr>
        <w:pStyle w:val="Normal"/>
        <w:bidi w:val="0"/>
        <w:ind w:start="0" w:end="0" w:firstLine="540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Во всех категориях хозяйств имеется 39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63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головы крупного рогатого скота, что составляет к уровню прошлого года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100</w:t>
      </w:r>
      <w:r>
        <w:rPr>
          <w:rFonts w:cs="PT Astra Serif" w:ascii="PT Astra Serif" w:hAnsi="PT Astra Serif"/>
          <w:color w:val="000000"/>
          <w:sz w:val="28"/>
          <w:szCs w:val="28"/>
        </w:rPr>
        <w:t>,0% (39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63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головы), </w:t>
      </w:r>
      <w:r>
        <w:rPr>
          <w:rFonts w:cs="PT Astra Serif" w:ascii="PT Astra Serif" w:hAnsi="PT Astra Serif"/>
          <w:color w:val="000000"/>
          <w:sz w:val="28"/>
          <w:szCs w:val="28"/>
        </w:rPr>
        <w:t>в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том числе коров во всех категориях 15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21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голов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а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или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100</w:t>
      </w:r>
      <w:r>
        <w:rPr>
          <w:rFonts w:cs="PT Astra Serif" w:ascii="PT Astra Serif" w:hAnsi="PT Astra Serif"/>
          <w:color w:val="000000"/>
          <w:sz w:val="28"/>
          <w:szCs w:val="28"/>
        </w:rPr>
        <w:t>,0%  к уровню прошлого года (15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2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1 голова). </w:t>
      </w:r>
    </w:p>
    <w:p>
      <w:pPr>
        <w:pStyle w:val="Normal"/>
        <w:bidi w:val="0"/>
        <w:ind w:start="0" w:end="0" w:firstLine="540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Поголовье свиней во всех категориях хозяйств составило 2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241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голова или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85</w:t>
      </w:r>
      <w:r>
        <w:rPr>
          <w:rFonts w:cs="PT Astra Serif" w:ascii="PT Astra Serif" w:hAnsi="PT Astra Serif"/>
          <w:color w:val="000000"/>
          <w:sz w:val="28"/>
          <w:szCs w:val="28"/>
        </w:rPr>
        <w:t>,0% к уровню прошлого года (26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35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голов). </w:t>
      </w:r>
    </w:p>
    <w:p>
      <w:pPr>
        <w:pStyle w:val="Normal"/>
        <w:bidi w:val="0"/>
        <w:ind w:start="0" w:end="0" w:firstLine="540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Поголовье овец во всех категориях составило 5355 голов или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100</w:t>
      </w:r>
      <w:r>
        <w:rPr>
          <w:rFonts w:cs="PT Astra Serif" w:ascii="PT Astra Serif" w:hAnsi="PT Astra Serif"/>
          <w:color w:val="000000"/>
          <w:sz w:val="28"/>
          <w:szCs w:val="28"/>
        </w:rPr>
        <w:t>,0% к уровню прошлого года (53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55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голов).</w:t>
      </w:r>
    </w:p>
    <w:p>
      <w:pPr>
        <w:pStyle w:val="Normal"/>
        <w:bidi w:val="0"/>
        <w:ind w:start="0" w:end="0" w:firstLine="540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Имеется поголовье птиц 1568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83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головы, что составляет к уровню прошлого года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100</w:t>
      </w:r>
      <w:r>
        <w:rPr>
          <w:rFonts w:cs="PT Astra Serif" w:ascii="PT Astra Serif" w:hAnsi="PT Astra Serif"/>
          <w:color w:val="000000"/>
          <w:sz w:val="28"/>
          <w:szCs w:val="28"/>
        </w:rPr>
        <w:t>,0% (15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6883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головы). </w:t>
      </w:r>
    </w:p>
    <w:p>
      <w:pPr>
        <w:pStyle w:val="Normal"/>
        <w:bidi w:val="0"/>
        <w:ind w:start="0" w:end="0" w:firstLine="540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По состоянию на 1 января 202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2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года произведено 1,97 тыс. т мяса, что к уровню прошлого года составляет 10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3</w:t>
      </w:r>
      <w:r>
        <w:rPr>
          <w:rFonts w:cs="PT Astra Serif" w:ascii="PT Astra Serif" w:hAnsi="PT Astra Serif"/>
          <w:color w:val="000000"/>
          <w:sz w:val="28"/>
          <w:szCs w:val="28"/>
        </w:rPr>
        <w:t>,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7</w:t>
      </w:r>
      <w:r>
        <w:rPr>
          <w:rFonts w:cs="PT Astra Serif" w:ascii="PT Astra Serif" w:hAnsi="PT Astra Serif"/>
          <w:color w:val="000000"/>
          <w:sz w:val="28"/>
          <w:szCs w:val="28"/>
        </w:rPr>
        <w:t>% (1,9 тыс. тонн).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ab/>
        <w:t>Производство молока составило 6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350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тонн или 100,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0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% к соответствующему периоду прошлого года (63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50)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bidi w:val="0"/>
        <w:ind w:start="0" w:end="0" w:firstLine="540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>Объем производства яиц составил 24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254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тыс. штук, что составляет к уровню прошлого года 100,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0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%. </w:t>
      </w:r>
    </w:p>
    <w:p>
      <w:pPr>
        <w:pStyle w:val="Normal"/>
        <w:bidi w:val="0"/>
        <w:ind w:start="0" w:end="0" w:firstLine="540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>Продуктивность дойного стада во всех категориях хозяйств составила 4175 кг на 1 корову, что составляет к уровню прошлого года 10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0</w:t>
      </w:r>
      <w:r>
        <w:rPr>
          <w:rFonts w:cs="PT Astra Serif" w:ascii="PT Astra Serif" w:hAnsi="PT Astra Serif"/>
          <w:color w:val="000000"/>
          <w:sz w:val="28"/>
          <w:szCs w:val="28"/>
        </w:rPr>
        <w:t>,0% (4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175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кг).</w:t>
      </w:r>
    </w:p>
    <w:p>
      <w:pPr>
        <w:pStyle w:val="Normal"/>
        <w:bidi w:val="0"/>
        <w:snapToGrid w:val="false"/>
        <w:ind w:start="-284" w:end="0" w:hanging="0"/>
        <w:jc w:val="center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Аналитическая информация об основных показателях отрасли животноводства в Турковском районе по состоянию на 01.01.2022 года</w:t>
      </w:r>
    </w:p>
    <w:p>
      <w:pPr>
        <w:pStyle w:val="Normal"/>
        <w:bidi w:val="0"/>
        <w:snapToGrid w:val="false"/>
        <w:ind w:start="-993" w:end="0" w:hanging="0"/>
        <w:jc w:val="both"/>
        <w:rPr>
          <w:rFonts w:ascii="PT Astra Serif" w:hAnsi="PT Astra Serif" w:eastAsia="PT Astra Serif" w:cs="PT Astra Serif"/>
          <w:b w:val="false"/>
          <w:b w:val="false"/>
          <w:bCs w:val="false"/>
          <w:sz w:val="28"/>
          <w:szCs w:val="28"/>
        </w:rPr>
      </w:pP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 xml:space="preserve">  </w:t>
      </w:r>
    </w:p>
    <w:tbl>
      <w:tblPr>
        <w:tblW w:w="14905" w:type="dxa"/>
        <w:jc w:val="start"/>
        <w:tblInd w:w="-33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782"/>
        <w:gridCol w:w="2100"/>
        <w:gridCol w:w="1977"/>
        <w:gridCol w:w="1991"/>
        <w:gridCol w:w="3341"/>
        <w:gridCol w:w="2714"/>
      </w:tblGrid>
      <w:tr>
        <w:trPr/>
        <w:tc>
          <w:tcPr>
            <w:tcW w:w="2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Наименование хозяйств</w:t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КРС</w:t>
            </w:r>
          </w:p>
        </w:tc>
        <w:tc>
          <w:tcPr>
            <w:tcW w:w="1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Свиньи</w:t>
            </w:r>
          </w:p>
        </w:tc>
        <w:tc>
          <w:tcPr>
            <w:tcW w:w="1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Овцы</w:t>
            </w:r>
          </w:p>
        </w:tc>
        <w:tc>
          <w:tcPr>
            <w:tcW w:w="33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Производство молока, тонн</w:t>
            </w:r>
          </w:p>
        </w:tc>
        <w:tc>
          <w:tcPr>
            <w:tcW w:w="27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Производство скота на убой, тонн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СХП+КФХ</w:t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493</w:t>
            </w:r>
          </w:p>
        </w:tc>
        <w:tc>
          <w:tcPr>
            <w:tcW w:w="1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1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690</w:t>
            </w:r>
          </w:p>
        </w:tc>
        <w:tc>
          <w:tcPr>
            <w:tcW w:w="33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364</w:t>
            </w:r>
          </w:p>
        </w:tc>
        <w:tc>
          <w:tcPr>
            <w:tcW w:w="27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26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ЛПХ</w:t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3470</w:t>
            </w:r>
          </w:p>
        </w:tc>
        <w:tc>
          <w:tcPr>
            <w:tcW w:w="1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2241</w:t>
            </w:r>
          </w:p>
        </w:tc>
        <w:tc>
          <w:tcPr>
            <w:tcW w:w="1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4665</w:t>
            </w:r>
          </w:p>
        </w:tc>
        <w:tc>
          <w:tcPr>
            <w:tcW w:w="33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5986</w:t>
            </w:r>
          </w:p>
        </w:tc>
        <w:tc>
          <w:tcPr>
            <w:tcW w:w="27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1071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3963</w:t>
            </w:r>
          </w:p>
        </w:tc>
        <w:tc>
          <w:tcPr>
            <w:tcW w:w="1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2241</w:t>
            </w:r>
          </w:p>
        </w:tc>
        <w:tc>
          <w:tcPr>
            <w:tcW w:w="1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5355</w:t>
            </w:r>
          </w:p>
        </w:tc>
        <w:tc>
          <w:tcPr>
            <w:tcW w:w="33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6350</w:t>
            </w:r>
          </w:p>
        </w:tc>
        <w:tc>
          <w:tcPr>
            <w:tcW w:w="27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1097</w:t>
            </w:r>
          </w:p>
        </w:tc>
      </w:tr>
    </w:tbl>
    <w:p>
      <w:pPr>
        <w:pStyle w:val="Normal"/>
        <w:bidi w:val="0"/>
        <w:ind w:start="0" w:end="0" w:firstLine="540"/>
        <w:jc w:val="both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Как мы видим из вышеприведенной таблицы доля СХП и КФХ в производстве животноводческой продукции незначительна,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о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сновное поголовье сельскохозяйственных животных сосредоточено в ЛПХ.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В целях улучшения положения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администрация Турковского муниципального района прилагает максимум усилий по развитию животноводства. 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Состояние инфраструктуры (краткое описание, проблемы)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start"/>
        <w:textAlignment w:val="baseline"/>
        <w:rPr>
          <w:rFonts w:ascii="PT Astra Serif" w:hAnsi="PT Astra Serif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/>
          <w:b w:val="false"/>
          <w:bCs w:val="false"/>
          <w:i/>
          <w:iCs/>
          <w:sz w:val="28"/>
          <w:szCs w:val="28"/>
          <w:lang w:val="ru-RU"/>
        </w:rPr>
        <w:t xml:space="preserve">Транспортная инфраструктура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/>
      </w:pPr>
      <w:r>
        <w:rPr>
          <w:rFonts w:cs="Times New Roman"/>
          <w:b w:val="false"/>
          <w:bCs w:val="false"/>
          <w:sz w:val="28"/>
          <w:szCs w:val="28"/>
          <w:lang w:val="ru-RU"/>
        </w:rPr>
        <w:t>На территории Турковского муниципального района 244 автомобильных дороги общего пользования (7 региональные и 237 местные) о</w:t>
      </w:r>
      <w:r>
        <w:rPr>
          <w:rFonts w:cs="Times New Roman"/>
          <w:sz w:val="28"/>
          <w:szCs w:val="28"/>
        </w:rPr>
        <w:t>бщ</w:t>
      </w:r>
      <w:r>
        <w:rPr>
          <w:rFonts w:cs="Times New Roman"/>
          <w:sz w:val="28"/>
          <w:szCs w:val="28"/>
          <w:lang w:val="ru-RU"/>
        </w:rPr>
        <w:t>ей</w:t>
      </w:r>
      <w:r>
        <w:rPr>
          <w:rFonts w:cs="Times New Roman"/>
          <w:sz w:val="28"/>
          <w:szCs w:val="28"/>
        </w:rPr>
        <w:t xml:space="preserve"> протяженность</w:t>
      </w:r>
      <w:r>
        <w:rPr>
          <w:rFonts w:cs="Times New Roman"/>
          <w:sz w:val="28"/>
          <w:szCs w:val="28"/>
          <w:lang w:val="ru-RU"/>
        </w:rPr>
        <w:t>ю 410,8 км., из которых</w:t>
      </w:r>
      <w:r>
        <w:rPr>
          <w:rFonts w:cs="Times New Roman"/>
          <w:sz w:val="28"/>
          <w:szCs w:val="28"/>
        </w:rPr>
        <w:t xml:space="preserve"> региональных дорог 138 км и 2</w:t>
      </w:r>
      <w:r>
        <w:rPr>
          <w:rFonts w:cs="Times New Roman"/>
          <w:sz w:val="28"/>
          <w:szCs w:val="28"/>
          <w:lang w:val="ru-RU"/>
        </w:rPr>
        <w:t xml:space="preserve">72,8 </w:t>
      </w:r>
      <w:r>
        <w:rPr>
          <w:rFonts w:cs="Times New Roman"/>
          <w:sz w:val="28"/>
          <w:szCs w:val="28"/>
        </w:rPr>
        <w:t>км</w:t>
      </w:r>
      <w:r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</w:rPr>
        <w:t xml:space="preserve"> автомобильных дорог общего пользования местного значения. </w:t>
      </w:r>
      <w:r>
        <w:rPr>
          <w:rFonts w:cs="Times New Roman"/>
          <w:sz w:val="28"/>
          <w:szCs w:val="28"/>
        </w:rPr>
        <w:t xml:space="preserve">В нормативном состоянии находится только 20% автомобильных дорог. </w:t>
      </w:r>
      <w:r>
        <w:rPr>
          <w:rFonts w:cs="Times New Roman"/>
          <w:sz w:val="28"/>
          <w:szCs w:val="28"/>
          <w:lang w:val="ru-RU"/>
        </w:rPr>
        <w:t xml:space="preserve">Улично-дорожная сеть составляет 183,89 км. Протяженность автомобильных дорог общего пользования местного значения, соответствующих транспортно-эксплуатационному состоянию составляет 72 км. или 26%.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/>
      </w:pPr>
      <w:r>
        <w:rPr>
          <w:rFonts w:cs="Times New Roman"/>
          <w:sz w:val="28"/>
          <w:szCs w:val="28"/>
          <w:lang w:val="ru-RU"/>
        </w:rPr>
        <w:t xml:space="preserve">На автомобильных дорогах имеется 10 мостовых сооружений в удовлетворительном состоянии. </w:t>
      </w:r>
      <w:r>
        <w:rPr>
          <w:rFonts w:cs="Times New Roman"/>
          <w:sz w:val="28"/>
          <w:szCs w:val="28"/>
        </w:rPr>
        <w:t>В соответствии с заключенными контрактами и договорами  на территории муниципального района автомобильные дороги находятся на содержании одной дорожной организации: ООО «ДорСтрой». Организация име</w:t>
      </w:r>
      <w:r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</w:rPr>
        <w:t xml:space="preserve">т в наличии более 30 единиц спецтехники. </w:t>
      </w:r>
      <w:r>
        <w:rPr>
          <w:rFonts w:cs="Times New Roman"/>
          <w:sz w:val="28"/>
          <w:szCs w:val="28"/>
          <w:lang w:val="ru-RU"/>
        </w:rPr>
        <w:t xml:space="preserve">Кроме того, на территории Турковского муниципального образования содержание автомобильных дорог осуществляется МУ "Благоустройство", а на территориях сельских поселений сельхозтоваропроизводителями на основании заключаемых с ними договоров.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период 2022-2024 годов запланирован ремонт тротуаров в рп. Турки общей площадью 9135,5 кв.м., из которых: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2022 год — 2811,5 кв.м.;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2023 год — 3280 кв.м.;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2024 год — 3044 кв.м. 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/>
      </w:pPr>
      <w:r>
        <w:rPr>
          <w:rFonts w:cs="Times New Roman"/>
          <w:sz w:val="28"/>
          <w:szCs w:val="28"/>
          <w:lang w:val="ru-RU"/>
        </w:rPr>
        <w:t xml:space="preserve">Финансирование указанных работ обеспечивается за счет средств областного бюджета в сумме 10 млн. рублей ежегодно. Реализация проекта по ремонту тротуаров позволит улучшить технико-эксплуатационное состояние улично — дорожной сети </w:t>
      </w:r>
      <w:r>
        <w:rPr>
          <w:rFonts w:cs="Times New Roman"/>
          <w:sz w:val="28"/>
          <w:szCs w:val="28"/>
          <w:lang w:val="ru-RU"/>
        </w:rPr>
        <w:t>Т</w:t>
      </w:r>
      <w:r>
        <w:rPr>
          <w:rFonts w:cs="Times New Roman"/>
          <w:sz w:val="28"/>
          <w:szCs w:val="28"/>
          <w:lang w:val="ru-RU"/>
        </w:rPr>
        <w:t xml:space="preserve">урковского муниципального образования, повысить безопасность дорожного движения, улучшить условия проживания граждан.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i/>
          <w:i/>
          <w:iCs/>
        </w:rPr>
      </w:pPr>
      <w:r>
        <w:rPr>
          <w:rFonts w:cs="Times New Roman"/>
          <w:b w:val="false"/>
          <w:bCs w:val="false"/>
          <w:i/>
          <w:iCs/>
          <w:color w:val="000000"/>
          <w:sz w:val="28"/>
          <w:szCs w:val="28"/>
          <w:lang w:val="ru-RU"/>
        </w:rPr>
        <w:t>Инженерная инфраструктура</w:t>
      </w:r>
      <w:r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/>
      </w:pP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На территории Турковского муниципального района расположено 5656 жилых домов, из которых 29 многоквартирных общей площадью 20487,82 кв.м. и 5627 индивидуальных жилых домов общей площадью 347109 кв.м. Общая площадь жилых помещений, приходящаяся в среднем на одного жителя муниципального района составляет 37 кв.м. 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За первое полугодие 2022 года введено в эксплуатацию 1979,2 кв.м. объектов капитального строительства, из которых 830 кв.м. жилья, при прогнозируемом объеме жилищного строительства за год 700 кв.м. Доля индивидуального жилищного строительства в общем объеме введенного жилья составила 100%. Прогнозно, в 2023 и 2024 годах планируется ввести в эксплуатацию по 750 кв.м. общей площади жилых помещений ежегодно, что позволит улучшить свои жилищные условия 12 семьям.</w:t>
      </w:r>
      <w:r>
        <w:rPr>
          <w:rFonts w:cs="Times New Roman"/>
          <w:b w:val="false"/>
          <w:bCs w:val="false"/>
          <w:color w:val="FF0000"/>
          <w:sz w:val="28"/>
          <w:szCs w:val="28"/>
          <w:lang w:val="ru-RU"/>
        </w:rPr>
        <w:t xml:space="preserve">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Аварийного жилья на территории муниципального района не имеется. Теплоснабжение жилья обеспечивается индивидуальными теплоисточниками. Централизованное горячее водоснабжение не осуществляется. Централизованным водопроводом обустроено 89,7% от общей площади жилищного фонда муниципального района.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Одним из приоритетных направлений развития муниципальных образований является повышение уровня комплексного благоустройства в части улучшения состояния дворовых территорий многоквартирных домов, включая подъезды к многоквартирным домам, благоустройства и озеленения зон отдыха, а также благоустройства общественных территорий (места массового посещения, наиболее посещаемые территории общего пользования). Приоритетный проект "Формирование комфортной городской среды" был утвержден Советом при Президенте Российской Федерации по стратегическому развитию и приоритетным проектам в 2016 году и предусматривает комплекс мероприятий по благоустройству дворовых территорий и общественно значимых городских пространств на всей территории страны. Турковское муниципальное образование участвует в реализации приоритетного проекта с 2018 года и по настоящее время. За этот период благоустроены все дворовые территории многоквартирных жилых домов в рп. Турки (24 дворовые территории и подъезды к ним), в том числе в первом полугодии 2022 года 7 дворовых территорий.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/>
      </w:pPr>
      <w:r>
        <w:rPr>
          <w:rFonts w:cs="Times New Roman"/>
          <w:sz w:val="28"/>
          <w:szCs w:val="28"/>
          <w:lang w:val="ru-RU"/>
        </w:rPr>
        <w:t>Отбор общественных территорий проводится в соответствии с одним из главных принципов проекта - участие жителей в принятии решений по отбору объектов для благоустройства, в проектировании и их реализации, что позволяет максимально учитывать  потребности населения при принятии важных градостроительных решений.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Так, в 2019 году были благоустроены 2 общественные территории - парк отдыха и детская площадка на центральной площади. Всего затрачены денежные средства в сумме </w:t>
      </w:r>
      <w:r>
        <w:rPr>
          <w:rFonts w:eastAsia="Calibri;Trebuchet MS" w:cs="Times New Roman"/>
          <w:sz w:val="28"/>
          <w:szCs w:val="28"/>
        </w:rPr>
        <w:t>1 156 176,89</w:t>
      </w:r>
      <w:r>
        <w:rPr>
          <w:rFonts w:eastAsia="Calibri;Trebuchet MS" w:cs="Times New Roman"/>
          <w:sz w:val="28"/>
          <w:szCs w:val="28"/>
          <w:lang w:val="ru-RU"/>
        </w:rPr>
        <w:t xml:space="preserve"> рублей. В 2020 году благоустроены 2 общественные территории - пешеходная зона по улице Ленина в рп. Турки и сквер КиноСад. Всего затрачены денежные средства в сумме </w:t>
      </w:r>
      <w:r>
        <w:rPr>
          <w:rFonts w:eastAsia="Calibri;Trebuchet MS" w:cs="Times New Roman"/>
          <w:sz w:val="28"/>
          <w:szCs w:val="28"/>
        </w:rPr>
        <w:t>2 962 998</w:t>
      </w:r>
      <w:r>
        <w:rPr>
          <w:rFonts w:eastAsia="Calibri;Trebuchet MS" w:cs="Times New Roman"/>
          <w:sz w:val="28"/>
          <w:szCs w:val="28"/>
          <w:lang w:val="ru-RU"/>
        </w:rPr>
        <w:t xml:space="preserve"> рублей. </w:t>
      </w:r>
      <w:r>
        <w:rPr>
          <w:rFonts w:cs="Times New Roman"/>
          <w:sz w:val="28"/>
          <w:szCs w:val="28"/>
          <w:lang w:val="ru-RU"/>
        </w:rPr>
        <w:t xml:space="preserve">В 2021 году были обустроены 2 общественные территории - приобретение и установка фонтана и малых архитектурных форм на пешеходной зоне по улице Ленина в рп. Турки и площадка для занятия общей физической подготовкой по улице Железнодорожная в рп. Турки. Всего затрачены денежные средства в сумме 2040875,34 рублей. В первом полугодии 2022 года из 2 запланированных к благоустройству территорий полностью обустроена 1 общественная территории (пешеходная зона по улице Ленина в рп. Турки) и на 1 ведутся запланированные работы (территория общего пользования у здания № 26 по улице Советская в рп. Турки). Проведение указанных работ позволяет не только улучшить облик поселка, но создает благоприятные условия для проживания граждан, повышает уровень жизни, улучшает условия массового отдыха и досуга.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/>
          <w:b w:val="false"/>
          <w:bCs w:val="false"/>
          <w:i/>
          <w:iCs/>
          <w:sz w:val="28"/>
          <w:szCs w:val="28"/>
          <w:lang w:val="ru-RU"/>
        </w:rPr>
        <w:t>Сбор и вывоз твердых коммунальных отходов.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/>
      </w:pPr>
      <w:r>
        <w:rPr>
          <w:rFonts w:cs="Times New Roman"/>
          <w:sz w:val="28"/>
          <w:szCs w:val="28"/>
          <w:lang w:val="ru-RU"/>
        </w:rPr>
        <w:t xml:space="preserve">С 03.02.2020 на территории Турковского муниципального образования осуществляет деятельность по обращению с твердыми коммунальными отходами Саратовский филиал АО "Ситиматик" (далее - региональный оператор по обращению с ТКО). </w:t>
      </w:r>
      <w:r>
        <w:rPr>
          <w:rFonts w:cs="Times New Roman"/>
          <w:sz w:val="28"/>
          <w:szCs w:val="28"/>
          <w:lang w:val="ru-RU"/>
        </w:rPr>
        <w:t>С</w:t>
      </w:r>
      <w:r>
        <w:rPr>
          <w:rFonts w:cs="Times New Roman"/>
          <w:sz w:val="28"/>
          <w:szCs w:val="28"/>
          <w:lang w:val="ru-RU"/>
        </w:rPr>
        <w:t xml:space="preserve"> 01.11.2021 региональный оператор по обращению с ТКО вошел в 15 сельских населенных пунктов трех муниципальных образований (Перевесинское, Рязанское, Студеновское). При рассмотрении вопроса о вхождении в сельские населенные пункты было учтено количество жителей и состояние автомобильных дорог с твердым покрытием. Сбор твердых коммунальных отходов (далее - ТКО) производится из 104 контейнеров для временного накопления ТКО, размещенных на 69 контейнерных площадках в рп. Турки и из 93 контейнеров, размещенных на 48 площадках сельских поселений Турковского муниципального района.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рамках муниципальной программы «Благоустройство Турковского муниципального образования Турковского муниципального района» в 2021 году было ликвидировано 65 несанкционированных свалок на сумму 400,0 тыс. руб. за первое полугодие 2022 года было ликвидировано 17 несанкционированных свалок на сумму 55,0 тыс. рублей.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/>
      </w:pPr>
      <w:r>
        <w:rPr>
          <w:rFonts w:cs="Times New Roman"/>
          <w:sz w:val="28"/>
          <w:szCs w:val="28"/>
          <w:lang w:val="ru-RU"/>
        </w:rPr>
        <w:t xml:space="preserve">В рамках </w:t>
      </w:r>
      <w:r>
        <w:rPr>
          <w:rFonts w:cs="Times New Roman"/>
          <w:sz w:val="28"/>
          <w:szCs w:val="28"/>
          <w:lang w:val="ru-RU"/>
        </w:rPr>
        <w:t xml:space="preserve">участия во Всероссийской акции «Вода России» в 2021 году проведена очистка от мусора 7 береговых линий (в том числе р. Хопер и р. Рысь) протяженностью 9,15 км и вывезено мусора в количестве 66 куб. м. За первое полугодие 2022 года очищено 3 береговые линии протяженностью 5,14 км и вывезено 2,7 куб. м. мусора.   </w:t>
      </w:r>
      <w:r>
        <w:rPr>
          <w:rFonts w:cs="Times New Roman"/>
          <w:sz w:val="28"/>
          <w:szCs w:val="28"/>
          <w:lang w:val="ru-RU"/>
        </w:rPr>
        <w:t xml:space="preserve">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i/>
          <w:iCs/>
          <w:sz w:val="28"/>
          <w:szCs w:val="28"/>
          <w:lang w:val="ru-RU"/>
        </w:rPr>
        <w:t>Водоснабжение и водоотведение.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Водоснабжение жителей и других потребителей на территории Турковского муниципального района осуществляется из подземных источников. При этом централизованным водоснабжением обеспечено 8869 человека или 89,7% от общей численности жителей района. Нецентрализованным водоснабжением обеспечено 1018 человек. Всего качественной питьевой водой обеспечено 7142 жителей, или 72,24% населения района. Централизованная система водоснабжения на территории Турковского муниципального района состоит из 19 комплексов водозабора и подачи воды.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Общая протяженность сетей водоснабжения составляет 24,6 км. Водонасосных станций и станций водоподготовки не имеется. Все объекты централизованного водоснабжения находятся в муниципальной собственности. Бесхозяйных объектов не имеется.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Нецентрализованное водоснабжение обеспечивается из 172 колодцев (Перевесинское МО - 4, Рязанское МО - 89, Студеновское МО - 46, Турковское МО — 33).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/>
      </w:pPr>
      <w:r>
        <w:rPr>
          <w:rFonts w:cs="Times New Roman"/>
          <w:color w:val="000000"/>
          <w:sz w:val="28"/>
          <w:szCs w:val="28"/>
          <w:lang w:val="ru-RU"/>
        </w:rPr>
        <w:t xml:space="preserve">Услуги по водоснабжению жителей и других потребителей осуществляет одна ресурсоснабжающая организация - </w:t>
      </w:r>
      <w:r>
        <w:rPr>
          <w:rFonts w:eastAsia="Calibri;Trebuchet MS" w:cs="Times New Roman"/>
          <w:color w:val="000000"/>
          <w:sz w:val="28"/>
          <w:szCs w:val="28"/>
        </w:rPr>
        <w:t xml:space="preserve">Муниципальное унитарное предприятие </w:t>
      </w:r>
      <w:r>
        <w:rPr>
          <w:rFonts w:eastAsia="DejaVu Sans Condensed" w:cs="Times New Roman"/>
          <w:color w:val="000000"/>
          <w:sz w:val="28"/>
          <w:szCs w:val="28"/>
        </w:rPr>
        <w:t>Турковского муниципального района Саратовской области "Жилищно-коммунальное хозяйство Турковского района"</w:t>
      </w:r>
      <w:r>
        <w:rPr>
          <w:rFonts w:eastAsia="DejaVu Sans Condensed" w:cs="Times New Roman"/>
          <w:color w:val="000000"/>
          <w:sz w:val="28"/>
          <w:szCs w:val="28"/>
          <w:lang w:val="ru-RU"/>
        </w:rPr>
        <w:t xml:space="preserve"> (далее - МУП ЖКХ), которому объекты ЦСВ принадлежат на праве хозяйственного ведения.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осенне-зимний период водоснабжение жителей и других потребителей является достаточным. Однако во время поливочного сезона давление воды в сетях водораспределения падает, в связи с чем обеспеченность водой становиться не достаточным. Положение усугубилось тем, что в 2021 году произошло обрушение двух водонапорных башен Рожновского.  Однако на настоящий момент проведена установка двух новых башен Рожновского и комплекс водозабора и подачи воды возобновил работу.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i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 xml:space="preserve">Газоснабжение и электроснабжение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Турковском муниципальном районе газифицировано 4338 жилых помещений в 23 населенных пунктах. Что составляет 90% от общего количества жилья.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Теплоснабжение социальных объектов и жилищного фонда обеспечивается от 20 котельных, использующих в качестве топлива природный газ. При этом отапливаемая площадь составляет 69352кв.м., из которых 610,9 кв.м. приходится на жилищный фонд в многоквартирных домах (13 из 443 квартир). 430 квартир в многоквартирных жилых домах используют индивидуальное отопление с топливом — природный газ.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По состоянию на сегодняшний день подано 39 заявок от физических лиц на догазификацию домовладений (в соответствии с поручением Президента Российской Федерации В.В. Путина от 31.05.2020 № Пр -907).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2.5. Туристическая сфера</w:t>
      </w:r>
      <w:r>
        <w:rPr>
          <w:rFonts w:cs="Times New Roman"/>
          <w:sz w:val="28"/>
          <w:szCs w:val="28"/>
          <w:lang w:val="ru-RU"/>
        </w:rPr>
        <w:t xml:space="preserve"> 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/>
      </w:pPr>
      <w:r>
        <w:rPr>
          <w:sz w:val="28"/>
          <w:szCs w:val="28"/>
        </w:rPr>
        <w:t xml:space="preserve">Главным богатством района являются его почвы (черноземы), имеющие самый высокий бонитет в Саратовской области. За изумительные пейзажи окрестности Турков </w:t>
      </w:r>
      <w:r>
        <w:rPr>
          <w:sz w:val="28"/>
          <w:szCs w:val="28"/>
        </w:rPr>
        <w:t xml:space="preserve">получили название «Саратовская Швейцария».   </w:t>
      </w:r>
      <w:r>
        <w:rPr>
          <w:sz w:val="28"/>
          <w:szCs w:val="28"/>
        </w:rPr>
        <w:t xml:space="preserve">Впечатление на туристов произведет флористическое разнообразие. Здесь можно встретить луга, болота, различные виды лесов. </w:t>
      </w:r>
      <w:r>
        <w:rPr>
          <w:sz w:val="28"/>
          <w:szCs w:val="28"/>
        </w:rPr>
        <w:t xml:space="preserve">На просторах Турковского района также можно встретить </w:t>
      </w:r>
      <w:r>
        <w:rPr>
          <w:sz w:val="28"/>
          <w:szCs w:val="28"/>
        </w:rPr>
        <w:t>таких представителей животного мира, как лось, заяц — русак, волк, бобр, лисица, ондатра, выхухоль, европейская норка, лесная куница, косуля, благородный олень, кабан. В местных водоемах водятся сом, судак, лещ, язь, линь, щука, окунь, сазан, ерш, плотва, налим, что несомненно порадует любителей рыбалки.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/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В нашем районе есть уникальное место, привлекающее не только верующих людей – это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Чириковский храм.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 Сохранившаяся в селе Чириково каменная церковь с колокольней была построена в 18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0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3 году. Главный престол храма был освещен во имя Казанской Иконы Божьей Матери. Храм восхищает архитектурной красотой. В 2012 году началось восстановление храма. В настоящее время храм восстановлен. Под новыми куполами старинной церкви вновь зазвучал колокольный звон. На территории храма образована монастырская обитель. Самым большим событием в жизни села стал ежегодный многодневный покаянный крестный ход с Казанской Иконой Божьей Матери от города Балашова до села Чириково, длиной в 110 километров. Поломники со всех концов страны стекаются в Престольный праздник к чириковскому храму. Главная святыня храма – Костомаровская Икона Божьей Матери. Неиссякаем людской поток к старинной чудотворной иконе. Село Чириково стоит на берегу самой красивой и чистой реки Хопер. Туристы, посетившие это живописное место, могут разместиться в гостином дворе, оформленном в стиле крестьянской избы. 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Издавна чириковская земля славилась источником, имеющим целебную силу. Многочисленные паломники приезжают и приходят за сотни километров, чтобы окунуться в воды здешнего родника.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/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З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а 2021 год туристический маршрут рп. Турки — Чириково посетило 4 тыс. человек, за 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3 квартала 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2022 года 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4,9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 тыс. человек.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rFonts w:ascii="PT Astra Serif" w:hAnsi="PT Astra Serif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Туристических баз на территории района не имеется.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/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 Выводы об инвестиционном потенциале района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/>
      </w:pPr>
      <w:r>
        <w:rPr>
          <w:color w:val="000000"/>
          <w:sz w:val="28"/>
          <w:szCs w:val="28"/>
        </w:rPr>
        <w:t xml:space="preserve">В рамках решения задач по созданию благоприятного инвестиционного климата в районе ведется работа по формированию инвестиционных площадок в целях привлечения потенциальных инвесторов. Район готов предложить инвесторам свободные земельные участки </w:t>
      </w:r>
      <w:r>
        <w:rPr>
          <w:color w:val="000000"/>
          <w:sz w:val="28"/>
          <w:szCs w:val="28"/>
        </w:rPr>
        <w:t xml:space="preserve">(кадастровые номера: </w:t>
      </w:r>
      <w:r>
        <w:rPr>
          <w:rStyle w:val="Style14"/>
          <w:rFonts w:cs="PT Astra Serif" w:ascii="PT Astra Serif" w:hAnsi="PT Astra Serif"/>
          <w:color w:val="000000"/>
          <w:sz w:val="28"/>
          <w:szCs w:val="28"/>
          <w:shd w:fill="auto" w:val="clear"/>
        </w:rPr>
        <w:t>64:35:350429, 64:35:350427:1</w:t>
      </w:r>
      <w:r>
        <w:rPr>
          <w:rStyle w:val="Style14"/>
          <w:rFonts w:cs="PT Astra Serif" w:ascii="PT Astra Serif" w:hAnsi="PT Astra Serif"/>
          <w:color w:val="000000"/>
          <w:sz w:val="28"/>
          <w:szCs w:val="28"/>
          <w:shd w:fill="auto" w:val="clear"/>
        </w:rPr>
        <w:t xml:space="preserve">) </w:t>
      </w:r>
      <w:r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сельскохозяйственной переработки. </w:t>
      </w:r>
      <w:r>
        <w:rPr>
          <w:color w:val="000000"/>
          <w:sz w:val="28"/>
          <w:szCs w:val="28"/>
        </w:rPr>
        <w:t xml:space="preserve">Имея богатую кормовую базу, возможно </w:t>
      </w:r>
      <w:r>
        <w:rPr>
          <w:color w:val="000000"/>
          <w:sz w:val="28"/>
          <w:szCs w:val="28"/>
        </w:rPr>
        <w:t xml:space="preserve">разведение уток, кроликов. </w:t>
      </w:r>
      <w:r>
        <w:rPr>
          <w:rFonts w:cs="PT Astra Serif" w:ascii="PT Astra Serif" w:hAnsi="PT Astra Serif"/>
          <w:bCs/>
          <w:sz w:val="28"/>
          <w:szCs w:val="28"/>
        </w:rPr>
        <w:t xml:space="preserve">На базе сельскохозяйственной организации ООО «Агрос» в перспективе наладить переработку молока на территории района с производством сметаны, кефира и др. продуктов переработки молока, а также установить линию по глубокой переработке и расфасовки мяса барарнины.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Приняты нормативно-правовые акты, предусматривающие предоставления льгот и преференций по налоговым платежам, зачисляемым в местный бюджет инвесторам, реализующим инвестиционные проекты на территории Турковского муниципального района (земельные налоги). Распоряжением главы администрации Турковского муниципального района от 18 июня 2014 года № 187-р создан Совет по улучшению инвестиционного климата, поддержке инвестиционных проектов и экспертному отбору стратегических проектов на территории Турковского муниципального района. Принят инвестиционный паспорт Турковского муниципального района для получения потенциальными инвесторами полной и достоверной информации об инвестиционном климате на территории района. Постановлением администрации Турковского муниципального района от 30 декабря 2013 года № 592 утвержден Регламент по сопровождению инвестиционных проектов, реализуемых и (или) планируемых к реализации на территории Турковского муниципального района. В рамках  проведения  регламентации всех услуг, которые оказываются администрацией, либо подведомственными или муниципальными унитарными  предприятиями и учреждениями в ходе работы с инвесторами постановлением  главы  администрации  Турковского муниципального района от 12 августа 2014 года № 323 утверждены дорожные карты: а) дорожная карта предоставления муниципальной услуги администрацией муниципального района по предоставлению земельного участка для строительства без предварительного согласования места размещения объекта; б) дорожная карта предоставления муниципальной услуги администрацией муниципального района по предоставлению земельного участка для строительства с предварительным согласованием места размещения объекта; в)  дорожная карта предоставления муниципальной услуги администрацией муниципального района по переводу земель или земельных участков из одной категории в другую; г) дорожная карта предоставления муниципальной услуги администрацией муниципального района по выдаче разрешения на ввод объекта в эксплуатацию; д) дорожная карта предоставления муниципальной услуги администрацией муниципального района по выдаче разрешения на строительство.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Недостаточно высокий уровень жизни, значительная дифференциация городского и сельского населения, негативные демографические тенденции в ближайшем будущем будут выступать в качестве ограничений экономического роста Турковского района. Стабилизация демографической ситуации видится одним из главных путей повышения трудового потенциала района.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709"/>
        <w:contextualSpacing/>
        <w:jc w:val="both"/>
        <w:textAlignment w:val="baseline"/>
        <w:rPr/>
      </w:pPr>
      <w:r>
        <w:rPr>
          <w:color w:val="000000"/>
          <w:spacing w:val="-1"/>
          <w:sz w:val="28"/>
          <w:szCs w:val="28"/>
        </w:rPr>
        <w:t>В районе и</w:t>
      </w:r>
      <w:r>
        <w:rPr>
          <w:color w:val="000000"/>
          <w:spacing w:val="-1"/>
          <w:sz w:val="28"/>
          <w:szCs w:val="28"/>
        </w:rPr>
        <w:t xml:space="preserve">меются водные, лесные, земельные ресурсы для развития </w:t>
      </w:r>
      <w:r>
        <w:rPr>
          <w:sz w:val="28"/>
          <w:szCs w:val="28"/>
        </w:rPr>
        <w:t xml:space="preserve">сферы туризма.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i/>
          <w:sz w:val="28"/>
          <w:szCs w:val="28"/>
        </w:rPr>
        <w:t xml:space="preserve">Туризм на базе водных видов транспорта, </w:t>
      </w:r>
      <w:r>
        <w:rPr>
          <w:rFonts w:ascii="PT Astra Serif" w:hAnsi="PT Astra Serif"/>
          <w:sz w:val="28"/>
          <w:szCs w:val="28"/>
        </w:rPr>
        <w:t>включающий активную экскурсионную программу. В долгосрочной перспективе необходимо создать условия для развития этого вида туризма путем разработки комплекса мер.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i/>
          <w:sz w:val="28"/>
          <w:szCs w:val="28"/>
        </w:rPr>
        <w:t>Лечебный (медицинский) туризм</w:t>
      </w:r>
      <w:r>
        <w:rPr>
          <w:rFonts w:ascii="PT Astra Serif" w:hAnsi="PT Astra Serif"/>
          <w:sz w:val="28"/>
          <w:szCs w:val="28"/>
        </w:rPr>
        <w:t xml:space="preserve">, имеющий несколько разновидностей, обусловленных природными средствами воздействия на человеческий организм: климатолечение,  фитотерапия (использование лекарственных трав и сборов),  и т.д.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/>
      </w:pPr>
      <w:r>
        <w:rPr>
          <w:rFonts w:ascii="PT Astra Serif" w:hAnsi="PT Astra Serif"/>
          <w:i/>
          <w:sz w:val="28"/>
          <w:szCs w:val="28"/>
        </w:rPr>
        <w:t>Рекреационный туризм</w:t>
      </w:r>
      <w:r>
        <w:rPr>
          <w:rFonts w:ascii="PT Astra Serif" w:hAnsi="PT Astra Serif"/>
          <w:sz w:val="28"/>
          <w:szCs w:val="28"/>
        </w:rPr>
        <w:t xml:space="preserve">, в основе которого лежит потребность человека в восстановлении своих физических и душевных сил. Этот вид туризма отличается большим разнообразием, может включать в себя такие программы, как зрелищно-развлекательные, занятия по интересам (охота и рыбная ловля), обучающие,  бытовые, оздоровительные (связанные с активными способами передвижения).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/>
      </w:pPr>
      <w:r>
        <w:rPr>
          <w:i/>
          <w:sz w:val="28"/>
          <w:szCs w:val="28"/>
        </w:rPr>
        <w:t>Спортивный туризм</w:t>
      </w:r>
      <w:r>
        <w:rPr>
          <w:sz w:val="28"/>
          <w:szCs w:val="28"/>
        </w:rPr>
        <w:t>, связанный с занятием каким-либо видом спорта. Благодаря природно-климатическим условиям на территории Турковского муниципального района можно развивать следующие виды спортивного туризма: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водный туризм — </w:t>
      </w:r>
      <w:r>
        <w:rPr>
          <w:sz w:val="28"/>
          <w:szCs w:val="28"/>
        </w:rPr>
        <w:t xml:space="preserve">сплав по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t xml:space="preserve">Хопру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rFonts w:ascii="PT Astra Serif" w:hAnsi="PT Astra Serif"/>
          <w:i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Развитие туриндустрии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/>
      </w:pPr>
      <w:r>
        <w:rPr>
          <w:rFonts w:ascii="PT Astra Serif" w:hAnsi="PT Astra Serif"/>
          <w:sz w:val="28"/>
          <w:szCs w:val="28"/>
        </w:rPr>
        <w:t xml:space="preserve">На территории района действует туристический маршрут рп. Турки — с. Чириково, с посещением краеведческого музея рп. Турки и </w:t>
      </w:r>
      <w:r>
        <w:rPr>
          <w:rFonts w:ascii="PT Astra Serif" w:hAnsi="PT Astra Serif"/>
          <w:sz w:val="28"/>
          <w:szCs w:val="28"/>
        </w:rPr>
        <w:t xml:space="preserve">Храма Казанской иконы Божией </w:t>
      </w:r>
      <w:r>
        <w:rPr>
          <w:rFonts w:ascii="PT Astra Serif" w:hAnsi="PT Astra Serif"/>
          <w:sz w:val="28"/>
          <w:szCs w:val="28"/>
        </w:rPr>
        <w:t>Матери (</w:t>
      </w:r>
      <w:r>
        <w:rPr>
          <w:rFonts w:ascii="PT Astra Serif" w:hAnsi="PT Astra Serif"/>
          <w:sz w:val="28"/>
          <w:szCs w:val="28"/>
        </w:rPr>
        <w:t>с. Чириково</w:t>
      </w:r>
      <w:r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/>
      </w:pPr>
      <w:r>
        <w:rPr>
          <w:rFonts w:ascii="PT Astra Serif" w:hAnsi="PT Astra Serif"/>
          <w:sz w:val="28"/>
          <w:szCs w:val="28"/>
        </w:rPr>
        <w:t>Посещение историко-краеведческого музея в р.п. Турки. Здесь вы можете ознакомиться с историей возникновения д. Рысь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– родоначальницы поселка Турки, ознакомитесь с историей развития Турковского района 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Переезд до села Чириково. Центр – Храм Казанской иконы Божьей Матери со святым источником. </w:t>
      </w:r>
      <w:r>
        <w:rPr>
          <w:rFonts w:ascii="PT Astra Serif" w:hAnsi="PT Astra Serif"/>
          <w:sz w:val="28"/>
          <w:szCs w:val="28"/>
        </w:rPr>
        <w:t xml:space="preserve">На данный момент в с. Чириково ведется активное благоустройство территории. </w:t>
      </w:r>
      <w:r>
        <w:rPr>
          <w:rFonts w:ascii="PT Astra Serif" w:hAnsi="PT Astra Serif"/>
          <w:sz w:val="28"/>
          <w:szCs w:val="28"/>
        </w:rPr>
        <w:t xml:space="preserve">В целях привлечения туристов наиболее оптимальным может стать организация комплексных туров с предоставлением услуг питания, проживания, экскурсионного обслуживания.  </w:t>
      </w:r>
      <w:r>
        <w:rPr>
          <w:rFonts w:ascii="PT Astra Serif" w:hAnsi="PT Astra Serif"/>
          <w:sz w:val="28"/>
          <w:szCs w:val="28"/>
        </w:rPr>
        <w:t>В настоящее время гостиниц для туристов и поломников не имеется.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Приоритетные направления для реализации инвестиционных проектов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 xml:space="preserve">создание животноводческих комплексов мясомолочного направления, овцеводства, с организацией последующей переработки и выпуска мясной </w:t>
      </w:r>
      <w:r>
        <w:rPr>
          <w:rFonts w:ascii="PT Astra Serif" w:hAnsi="PT Astra Serif"/>
          <w:color w:val="000000"/>
          <w:sz w:val="28"/>
          <w:szCs w:val="28"/>
        </w:rPr>
        <w:t xml:space="preserve">и молочной </w:t>
      </w:r>
      <w:r>
        <w:rPr>
          <w:rFonts w:ascii="PT Astra Serif" w:hAnsi="PT Astra Serif"/>
          <w:color w:val="000000"/>
          <w:sz w:val="28"/>
          <w:szCs w:val="28"/>
        </w:rPr>
        <w:t>продукции;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 xml:space="preserve">развитие туристических услуг: разработка туристических маршрутов и создание туристического объекта (размещение клэмпинга) для организации активного туризма и оздоровительного отдыха, в т.ч. </w:t>
      </w:r>
      <w:r>
        <w:rPr>
          <w:rFonts w:ascii="PT Astra Serif" w:hAnsi="PT Astra Serif"/>
          <w:color w:val="000000"/>
          <w:sz w:val="28"/>
          <w:szCs w:val="28"/>
        </w:rPr>
        <w:t>с</w:t>
      </w:r>
      <w:r>
        <w:rPr>
          <w:rFonts w:ascii="PT Astra Serif" w:hAnsi="PT Astra Serif"/>
          <w:color w:val="000000"/>
          <w:sz w:val="28"/>
          <w:szCs w:val="28"/>
        </w:rPr>
        <w:t>оздание сопутствующих объектов (питания, размещения).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color w:val="000000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Запланировано проведение мероприятий по благоустройству общественной территории: «Зона отдыха у реки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Хопёр в рп. Турки между улицами Хопёрская и Набережная» на 10 млн. руб.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в 2023 году. </w:t>
      </w:r>
      <w:r>
        <w:rPr>
          <w:rFonts w:cs="PT Astra Serif" w:ascii="PT Astra Serif" w:hAnsi="PT Astra Serif"/>
          <w:color w:val="000000"/>
          <w:sz w:val="28"/>
          <w:szCs w:val="28"/>
        </w:rPr>
        <w:t>Срок реализации проекта 2023-2024 годы. В рамках данного проекта планируется устройство пешеходной дорожки до зоны рекреации, а также обустройство набережной у реки Хопёр</w:t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/>
      </w:pPr>
      <w:r>
        <w:rPr>
          <w:rFonts w:ascii="PT Astra Serif" w:hAnsi="PT Astra Serif"/>
          <w:b/>
          <w:bCs/>
          <w:sz w:val="28"/>
          <w:szCs w:val="28"/>
        </w:rPr>
        <w:t>3</w:t>
      </w:r>
      <w:r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sz w:val="28"/>
          <w:szCs w:val="28"/>
        </w:rPr>
        <w:t xml:space="preserve">Инвестиционная активность и проекты на активной стадии реализации </w:t>
      </w:r>
    </w:p>
    <w:p>
      <w:pPr>
        <w:pStyle w:val="Style15"/>
        <w:bidi w:val="0"/>
        <w:ind w:start="0" w:end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Динамика </w:t>
      </w:r>
      <w:r>
        <w:rPr>
          <w:color w:val="000000"/>
          <w:sz w:val="28"/>
          <w:szCs w:val="28"/>
        </w:rPr>
        <w:t>вложенных инвестиций в основной капитал</w:t>
      </w:r>
    </w:p>
    <w:tbl>
      <w:tblPr>
        <w:tblW w:w="14564" w:type="dxa"/>
        <w:jc w:val="start"/>
        <w:tblInd w:w="-2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708"/>
        <w:gridCol w:w="2295"/>
        <w:gridCol w:w="2064"/>
        <w:gridCol w:w="2249"/>
        <w:gridCol w:w="2248"/>
      </w:tblGrid>
      <w:tr>
        <w:trPr/>
        <w:tc>
          <w:tcPr>
            <w:tcW w:w="57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9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06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4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4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в % к 2019 году</w:t>
            </w:r>
          </w:p>
        </w:tc>
      </w:tr>
      <w:tr>
        <w:trPr/>
        <w:tc>
          <w:tcPr>
            <w:tcW w:w="57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инвестиций в основной капитал+(с/х), млн. руб.</w:t>
            </w:r>
          </w:p>
        </w:tc>
        <w:tc>
          <w:tcPr>
            <w:tcW w:w="22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228,7</w:t>
            </w:r>
          </w:p>
        </w:tc>
        <w:tc>
          <w:tcPr>
            <w:tcW w:w="20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289,2</w:t>
            </w:r>
          </w:p>
        </w:tc>
        <w:tc>
          <w:tcPr>
            <w:tcW w:w="22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417,7</w:t>
            </w:r>
          </w:p>
        </w:tc>
        <w:tc>
          <w:tcPr>
            <w:tcW w:w="224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182,7</w:t>
            </w:r>
          </w:p>
        </w:tc>
      </w:tr>
    </w:tbl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6"/>
        <w:bidi w:val="0"/>
        <w:spacing w:before="0" w:after="0"/>
        <w:ind w:start="57" w:end="0" w:firstLine="510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Инвестиционные проекты на активной стадии реализации </w:t>
      </w:r>
    </w:p>
    <w:p>
      <w:pPr>
        <w:pStyle w:val="Style16"/>
        <w:bidi w:val="0"/>
        <w:spacing w:before="0" w:after="0"/>
        <w:ind w:start="57" w:end="0" w:firstLine="510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tbl>
      <w:tblPr>
        <w:tblW w:w="14564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68"/>
        <w:gridCol w:w="2105"/>
        <w:gridCol w:w="2818"/>
        <w:gridCol w:w="1650"/>
        <w:gridCol w:w="1759"/>
        <w:gridCol w:w="1473"/>
        <w:gridCol w:w="1636"/>
        <w:gridCol w:w="2155"/>
      </w:tblGrid>
      <w:tr>
        <w:trPr/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  <w:tab w:val="left" w:pos="289" w:leader="none"/>
              </w:tabs>
              <w:suppressAutoHyphens w:val="true"/>
              <w:bidi w:val="0"/>
              <w:ind w:start="57" w:end="0" w:firstLine="57"/>
              <w:jc w:val="center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 xml:space="preserve">№ 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hanging="9"/>
              <w:jc w:val="center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Наименование предприятия</w:t>
            </w:r>
          </w:p>
        </w:tc>
        <w:tc>
          <w:tcPr>
            <w:tcW w:w="11491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hanging="57"/>
              <w:jc w:val="center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Инвестиционные проекты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center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наименование</w:t>
            </w:r>
          </w:p>
        </w:tc>
        <w:tc>
          <w:tcPr>
            <w:tcW w:w="1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hanging="57"/>
              <w:jc w:val="center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наличие документации</w:t>
            </w:r>
          </w:p>
        </w:tc>
        <w:tc>
          <w:tcPr>
            <w:tcW w:w="17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hanging="57"/>
              <w:jc w:val="center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срок реализации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hanging="57"/>
              <w:jc w:val="center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стоимость, млн. рублей</w:t>
            </w:r>
          </w:p>
        </w:tc>
        <w:tc>
          <w:tcPr>
            <w:tcW w:w="1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hanging="57"/>
              <w:jc w:val="center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количество создаваемых рабочих мест</w:t>
            </w:r>
          </w:p>
        </w:tc>
        <w:tc>
          <w:tcPr>
            <w:tcW w:w="21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hanging="57"/>
              <w:jc w:val="center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Проблемные вопросы реализации проекта и пути решения</w:t>
            </w:r>
          </w:p>
        </w:tc>
      </w:tr>
      <w:tr>
        <w:trPr/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ООО «Агрос»</w:t>
            </w:r>
          </w:p>
        </w:tc>
        <w:tc>
          <w:tcPr>
            <w:tcW w:w="2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Развитие региональной мелиоративной системы</w:t>
            </w:r>
          </w:p>
        </w:tc>
        <w:tc>
          <w:tcPr>
            <w:tcW w:w="1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да</w:t>
            </w:r>
          </w:p>
        </w:tc>
        <w:tc>
          <w:tcPr>
            <w:tcW w:w="17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2022 год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100,0</w:t>
            </w:r>
          </w:p>
        </w:tc>
        <w:tc>
          <w:tcPr>
            <w:tcW w:w="1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/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ПАО «МРСК Волги»</w:t>
            </w:r>
          </w:p>
        </w:tc>
        <w:tc>
          <w:tcPr>
            <w:tcW w:w="2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09"/>
              </w:tabs>
              <w:suppressAutoHyphens w:val="true"/>
              <w:bidi w:val="0"/>
              <w:spacing w:before="0" w:after="240"/>
              <w:ind w:start="0" w:end="0" w:firstLine="567"/>
              <w:contextualSpacing/>
              <w:jc w:val="both"/>
              <w:textAlignment w:val="baseline"/>
              <w:rPr>
                <w:rFonts w:ascii="PT Astra Serif" w:hAnsi="PT Astra Serif"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PT Astra Serif" w:hAnsi="PT Astra Serif"/>
                <w:color w:val="000000"/>
                <w:kern w:val="0"/>
                <w:sz w:val="28"/>
                <w:szCs w:val="28"/>
                <w:lang w:eastAsia="en-US" w:bidi="ar-SA"/>
              </w:rPr>
              <w:t>модернизация ПС 35/10 Турки (замена КРУН 10 кВ) — модернизация трансформаторной подстанции в части замены комплектного распределительного устройства наружной установки для обеспечения надежного электроснабжения потребителей</w:t>
            </w:r>
          </w:p>
        </w:tc>
        <w:tc>
          <w:tcPr>
            <w:tcW w:w="1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да</w:t>
            </w:r>
          </w:p>
        </w:tc>
        <w:tc>
          <w:tcPr>
            <w:tcW w:w="17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2022-2024 годы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20,7</w:t>
            </w:r>
          </w:p>
        </w:tc>
        <w:tc>
          <w:tcPr>
            <w:tcW w:w="1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/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ООО «Агрос»</w:t>
            </w:r>
          </w:p>
        </w:tc>
        <w:tc>
          <w:tcPr>
            <w:tcW w:w="2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Строительство овцефермы</w:t>
            </w:r>
          </w:p>
        </w:tc>
        <w:tc>
          <w:tcPr>
            <w:tcW w:w="16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да</w:t>
            </w:r>
          </w:p>
        </w:tc>
        <w:tc>
          <w:tcPr>
            <w:tcW w:w="17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/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2021 -202</w:t>
            </w: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4</w:t>
            </w: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 xml:space="preserve"> годы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78,0</w:t>
            </w:r>
          </w:p>
        </w:tc>
        <w:tc>
          <w:tcPr>
            <w:tcW w:w="1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/>
        <w:tc>
          <w:tcPr>
            <w:tcW w:w="96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10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ООО «Агрос»</w:t>
            </w:r>
          </w:p>
        </w:tc>
        <w:tc>
          <w:tcPr>
            <w:tcW w:w="281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Строительство роботизированной молочно — товарной животноводческой фермы</w:t>
            </w:r>
          </w:p>
        </w:tc>
        <w:tc>
          <w:tcPr>
            <w:tcW w:w="16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да</w:t>
            </w:r>
          </w:p>
        </w:tc>
        <w:tc>
          <w:tcPr>
            <w:tcW w:w="17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2021-2026 годы</w:t>
            </w:r>
          </w:p>
        </w:tc>
        <w:tc>
          <w:tcPr>
            <w:tcW w:w="14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/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9</w:t>
            </w: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90,0</w:t>
            </w:r>
          </w:p>
        </w:tc>
        <w:tc>
          <w:tcPr>
            <w:tcW w:w="16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2</w:t>
            </w: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21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tabs>
                <w:tab w:val="clear" w:pos="709"/>
              </w:tabs>
              <w:bidi w:val="0"/>
              <w:ind w:start="57" w:end="0" w:firstLine="510"/>
              <w:jc w:val="both"/>
              <w:textAlignment w:val="auto"/>
              <w:rPr>
                <w:rFonts w:ascii="PT Astra Serif" w:hAnsi="PT Astra Serif" w:eastAsia="Calibri" w:cs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Calibri" w:ascii="PT Astra Serif" w:hAnsi="PT Astra Serif"/>
                <w:kern w:val="0"/>
                <w:sz w:val="28"/>
                <w:szCs w:val="28"/>
                <w:lang w:eastAsia="en-US" w:bidi="ar-SA"/>
              </w:rPr>
            </w:r>
          </w:p>
        </w:tc>
      </w:tr>
    </w:tbl>
    <w:p>
      <w:pPr>
        <w:pStyle w:val="Normal"/>
        <w:shd w:fill="FFFFFF" w:val="clear"/>
        <w:suppressAutoHyphens w:val="true"/>
        <w:bidi w:val="0"/>
        <w:spacing w:before="0" w:after="240"/>
        <w:ind w:start="0" w:end="0"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hd w:fill="FFFFFF" w:val="clear"/>
        <w:suppressAutoHyphens w:val="true"/>
        <w:bidi w:val="0"/>
        <w:spacing w:before="0" w:after="167"/>
        <w:ind w:start="0" w:end="0" w:firstLine="709"/>
        <w:contextualSpacing/>
        <w:jc w:val="both"/>
        <w:textAlignment w:val="baseline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Целевые индикаторы реализации плана инвестиционного развития района</w:t>
      </w:r>
    </w:p>
    <w:tbl>
      <w:tblPr>
        <w:tblW w:w="1456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6177"/>
        <w:gridCol w:w="2782"/>
        <w:gridCol w:w="2946"/>
        <w:gridCol w:w="2659"/>
      </w:tblGrid>
      <w:tr>
        <w:trPr/>
        <w:tc>
          <w:tcPr>
            <w:tcW w:w="61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278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(оценка)</w:t>
            </w:r>
          </w:p>
        </w:tc>
        <w:tc>
          <w:tcPr>
            <w:tcW w:w="29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265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>
        <w:trPr/>
        <w:tc>
          <w:tcPr>
            <w:tcW w:w="61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инвестиций в основной капитал</w:t>
            </w:r>
            <w:r>
              <w:rPr>
                <w:sz w:val="28"/>
                <w:szCs w:val="28"/>
              </w:rPr>
              <w:t>+(с/х)</w:t>
            </w:r>
            <w:r>
              <w:rPr>
                <w:sz w:val="28"/>
                <w:szCs w:val="28"/>
              </w:rPr>
              <w:t xml:space="preserve">, млн. руб. </w:t>
            </w:r>
          </w:p>
        </w:tc>
        <w:tc>
          <w:tcPr>
            <w:tcW w:w="27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  <w:tc>
          <w:tcPr>
            <w:tcW w:w="265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>
        <w:trPr/>
        <w:tc>
          <w:tcPr>
            <w:tcW w:w="61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 в основной капитал на </w:t>
            </w:r>
            <w:r>
              <w:rPr>
                <w:sz w:val="28"/>
                <w:szCs w:val="28"/>
              </w:rPr>
              <w:t>1 жителя</w:t>
            </w:r>
            <w:r>
              <w:rPr>
                <w:sz w:val="28"/>
                <w:szCs w:val="28"/>
              </w:rPr>
              <w:t>, руб.</w:t>
            </w:r>
          </w:p>
        </w:tc>
        <w:tc>
          <w:tcPr>
            <w:tcW w:w="27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175,9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211,1</w:t>
            </w:r>
          </w:p>
        </w:tc>
        <w:tc>
          <w:tcPr>
            <w:tcW w:w="265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253,3</w:t>
            </w:r>
          </w:p>
        </w:tc>
      </w:tr>
      <w:tr>
        <w:trPr/>
        <w:tc>
          <w:tcPr>
            <w:tcW w:w="61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Ожидаемое количество создаваемых рабочих мест</w:t>
            </w:r>
          </w:p>
        </w:tc>
        <w:tc>
          <w:tcPr>
            <w:tcW w:w="27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5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>
      <w:pPr>
        <w:pStyle w:val="Normal"/>
        <w:shd w:fill="FFFFFF" w:val="clear"/>
        <w:suppressAutoHyphens w:val="true"/>
        <w:bidi w:val="0"/>
        <w:spacing w:lineRule="atLeast" w:line="100" w:before="0" w:after="240"/>
        <w:ind w:start="0" w:end="-30" w:firstLine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uppressAutoHyphens w:val="true"/>
        <w:bidi w:val="0"/>
        <w:spacing w:lineRule="atLeast" w:line="100" w:before="0" w:after="240"/>
        <w:ind w:start="0" w:end="-30" w:firstLine="720"/>
        <w:contextualSpacing/>
        <w:jc w:val="both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Развитие эффективных механизмов взаимодействия бизнес — структур и органов местного самоуправления</w:t>
      </w:r>
    </w:p>
    <w:p>
      <w:pPr>
        <w:pStyle w:val="Normal"/>
        <w:shd w:fill="FFFFFF" w:val="clear"/>
        <w:suppressAutoHyphens w:val="true"/>
        <w:bidi w:val="0"/>
        <w:spacing w:lineRule="atLeast" w:line="100" w:before="0" w:after="240"/>
        <w:ind w:start="0" w:end="0" w:firstLine="709"/>
        <w:contextualSpacing/>
        <w:jc w:val="both"/>
        <w:textAlignment w:val="baseline"/>
        <w:rPr/>
      </w:pPr>
      <w:r>
        <w:rPr>
          <w:sz w:val="28"/>
          <w:szCs w:val="28"/>
        </w:rPr>
        <w:t xml:space="preserve">На официальном сайте администрации района </w:t>
      </w:r>
      <w:hyperlink r:id="rId2">
        <w:r>
          <w:rPr>
            <w:rStyle w:val="InternetLink"/>
            <w:sz w:val="28"/>
            <w:szCs w:val="28"/>
          </w:rPr>
          <w:t>http://turki.sarmo.ru/</w:t>
        </w:r>
      </w:hyperlink>
      <w:r>
        <w:rPr>
          <w:sz w:val="28"/>
          <w:szCs w:val="28"/>
        </w:rPr>
        <w:t xml:space="preserve"> создана специальная страница инвестора, на которой постоянно размещается и актуализируется информация: инвестиционный паспорт; конкурентные преимущества района; </w:t>
      </w:r>
      <w:r>
        <w:rPr>
          <w:sz w:val="28"/>
          <w:szCs w:val="28"/>
        </w:rPr>
        <w:t xml:space="preserve">размещенные и планируемые к размещению инвестиционные проекты; дорожные карты предоставления муниципальных услуг; перечень муниципальных земель и имущества, предлагаемых инвесторам для </w:t>
      </w:r>
      <w:r>
        <w:rPr>
          <w:sz w:val="28"/>
          <w:szCs w:val="28"/>
        </w:rPr>
        <w:t>размещения производственных и иных объектов. Определен телефон «Горячей линии».</w:t>
      </w:r>
    </w:p>
    <w:p>
      <w:pPr>
        <w:pStyle w:val="Normal"/>
        <w:shd w:fill="FFFFFF" w:val="clear"/>
        <w:suppressAutoHyphens w:val="true"/>
        <w:bidi w:val="0"/>
        <w:spacing w:lineRule="atLeast" w:line="100" w:before="0" w:after="240"/>
        <w:ind w:start="0" w:end="0" w:firstLine="709"/>
        <w:contextualSpacing/>
        <w:jc w:val="both"/>
        <w:textAlignment w:val="baseline"/>
        <w:rPr/>
      </w:pPr>
      <w:r>
        <w:rPr>
          <w:sz w:val="28"/>
          <w:szCs w:val="28"/>
        </w:rPr>
        <w:t xml:space="preserve">Распоряжением главы администрации Турковского муниципального района от 18 июня 2014 года № 187-р создан Совет по улучшению инвестиционного климата, поддержке инвестиционных проектов и экспертному отбору стратегических проектов на территории Турковского муниципального района. 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 xml:space="preserve">В ходе проведенных встреч с инвесторами </w:t>
      </w:r>
      <w:r>
        <w:rPr>
          <w:rFonts w:cs="PT Astra Serif"/>
          <w:bCs/>
          <w:color w:val="000000"/>
          <w:sz w:val="28"/>
          <w:szCs w:val="28"/>
        </w:rPr>
        <w:t xml:space="preserve">на территории Турковского муниципального района реализуются инвестиционные проекты </w:t>
      </w:r>
      <w:r>
        <w:rPr>
          <w:rFonts w:cs="PT Astra Serif"/>
          <w:bCs/>
          <w:color w:val="000000"/>
          <w:sz w:val="28"/>
          <w:szCs w:val="28"/>
        </w:rPr>
        <w:t xml:space="preserve">на базе сельскохозяйственной организации </w:t>
      </w:r>
      <w:r>
        <w:rPr>
          <w:rFonts w:cs="PT Astra Serif"/>
          <w:bCs/>
          <w:color w:val="000000"/>
          <w:sz w:val="28"/>
          <w:szCs w:val="28"/>
        </w:rPr>
        <w:t>ООО «Агрос»:</w:t>
      </w:r>
    </w:p>
    <w:p>
      <w:pPr>
        <w:pStyle w:val="Normal"/>
        <w:shd w:fill="FFFFFF" w:val="clear"/>
        <w:suppressAutoHyphens w:val="true"/>
        <w:bidi w:val="0"/>
        <w:spacing w:lineRule="atLeast" w:line="100" w:before="0" w:after="240"/>
        <w:ind w:start="0" w:end="0" w:firstLine="709"/>
        <w:contextualSpacing/>
        <w:jc w:val="both"/>
        <w:textAlignment w:val="baseline"/>
        <w:rPr/>
      </w:pPr>
      <w:r>
        <w:rPr>
          <w:rFonts w:cs="PT Astra Serif"/>
          <w:bCs/>
          <w:color w:val="000000"/>
          <w:sz w:val="28"/>
          <w:szCs w:val="28"/>
        </w:rPr>
        <w:t>С</w:t>
      </w:r>
      <w:r>
        <w:rPr>
          <w:rFonts w:cs="PT Astra Serif"/>
          <w:bCs/>
          <w:color w:val="000000"/>
          <w:sz w:val="28"/>
          <w:szCs w:val="28"/>
        </w:rPr>
        <w:t xml:space="preserve">троительство овцефермы — </w:t>
      </w:r>
      <w:r>
        <w:rPr>
          <w:rFonts w:cs="PT Astra Serif"/>
          <w:bCs/>
          <w:color w:val="000000"/>
          <w:sz w:val="28"/>
          <w:szCs w:val="28"/>
        </w:rPr>
        <w:t xml:space="preserve">срок реализации проекта 2021 — 2024 годы. Проектная мощность овцефермы будет составлять </w:t>
      </w:r>
      <w:r>
        <w:rPr>
          <w:rFonts w:cs="PT Astra Serif"/>
          <w:bCs/>
          <w:color w:val="000000"/>
          <w:sz w:val="28"/>
          <w:szCs w:val="28"/>
        </w:rPr>
        <w:t>6</w:t>
      </w:r>
      <w:r>
        <w:rPr>
          <w:rFonts w:cs="PT Astra Serif"/>
          <w:bCs/>
          <w:color w:val="000000"/>
          <w:sz w:val="28"/>
          <w:szCs w:val="28"/>
        </w:rPr>
        <w:t xml:space="preserve">,0 тыс. голов и планируемая мощность производства продукции составит 65 тонн в год. Построен один корпус овцефермы (маточник на 700 гол.), ведется монтаж оборудования кормоцеха. </w:t>
      </w:r>
      <w:r>
        <w:rPr>
          <w:rFonts w:cs="PT Astra Serif"/>
          <w:bCs/>
          <w:color w:val="000000"/>
          <w:sz w:val="28"/>
          <w:szCs w:val="28"/>
        </w:rPr>
        <w:t xml:space="preserve">В стадии завершения </w:t>
      </w:r>
      <w:r>
        <w:rPr>
          <w:rFonts w:cs="PT Astra Serif"/>
          <w:bCs/>
          <w:color w:val="000000"/>
          <w:sz w:val="28"/>
          <w:szCs w:val="28"/>
        </w:rPr>
        <w:t xml:space="preserve">строительство второго корпуса овцефермы на </w:t>
      </w:r>
      <w:r>
        <w:rPr>
          <w:rFonts w:cs="PT Astra Serif"/>
          <w:bCs/>
          <w:color w:val="000000"/>
          <w:sz w:val="28"/>
          <w:szCs w:val="28"/>
        </w:rPr>
        <w:t>5</w:t>
      </w:r>
      <w:r>
        <w:rPr>
          <w:rFonts w:cs="PT Astra Serif"/>
          <w:bCs/>
          <w:color w:val="000000"/>
          <w:sz w:val="28"/>
          <w:szCs w:val="28"/>
        </w:rPr>
        <w:t xml:space="preserve">000 гол. Закуплено племенных ярок и баранов 667 голов, в том числе 595 гол. </w:t>
      </w:r>
      <w:r>
        <w:rPr>
          <w:rFonts w:cs="PT Astra Serif"/>
          <w:bCs/>
          <w:color w:val="000000"/>
          <w:sz w:val="28"/>
          <w:szCs w:val="28"/>
        </w:rPr>
        <w:t xml:space="preserve">Куйбышевской породы и 72 головы породы Дорпер. Общая стоимость проекта составит 78,0 млн. руб. </w:t>
      </w:r>
      <w:r>
        <w:rPr>
          <w:rFonts w:cs="PT Astra Serif"/>
          <w:bCs/>
          <w:color w:val="000000"/>
          <w:sz w:val="28"/>
          <w:szCs w:val="28"/>
        </w:rPr>
        <w:t xml:space="preserve">На 1 декабря 2022 года объем средств на реализацию проекта составил 75,1 млн. руб. </w:t>
      </w:r>
      <w:r>
        <w:rPr>
          <w:rFonts w:cs="PT Astra Serif"/>
          <w:bCs/>
          <w:color w:val="000000"/>
          <w:sz w:val="28"/>
          <w:szCs w:val="28"/>
        </w:rPr>
        <w:t>Благодаря инвестиционному проекту было создано 11 рабочих мест. Средняя заработная плата составляет 35500 руб. Получено ягнят 443 гол. Общая численность овец составляет 113</w:t>
      </w:r>
      <w:r>
        <w:rPr>
          <w:rFonts w:cs="PT Astra Serif"/>
          <w:bCs/>
          <w:color w:val="000000"/>
          <w:sz w:val="28"/>
          <w:szCs w:val="28"/>
        </w:rPr>
        <w:t>3</w:t>
      </w:r>
      <w:r>
        <w:rPr>
          <w:rFonts w:cs="PT Astra Serif"/>
          <w:bCs/>
          <w:color w:val="000000"/>
          <w:sz w:val="28"/>
          <w:szCs w:val="28"/>
        </w:rPr>
        <w:t xml:space="preserve"> голов, в т.ч. овцематки 661 голова и 8 баранов. </w:t>
      </w:r>
      <w:r>
        <w:rPr>
          <w:rFonts w:cs="PT Astra Serif"/>
          <w:bCs/>
          <w:color w:val="000000"/>
          <w:sz w:val="28"/>
          <w:szCs w:val="28"/>
        </w:rPr>
        <w:t>В перспективе планируется установить линию по глубокой переработке и расфасовки мяса баранины.</w:t>
      </w:r>
    </w:p>
    <w:p>
      <w:pPr>
        <w:pStyle w:val="Normal"/>
        <w:shd w:fill="FFFFFF" w:val="clear"/>
        <w:suppressAutoHyphens w:val="true"/>
        <w:bidi w:val="0"/>
        <w:spacing w:lineRule="atLeast" w:line="100" w:before="0" w:after="240"/>
        <w:ind w:start="0" w:end="0" w:firstLine="709"/>
        <w:contextualSpacing/>
        <w:jc w:val="both"/>
        <w:textAlignment w:val="baseline"/>
        <w:rPr/>
      </w:pPr>
      <w:r>
        <w:rPr>
          <w:rFonts w:cs="PT Astra Serif"/>
          <w:bCs/>
          <w:color w:val="000000"/>
          <w:sz w:val="28"/>
          <w:szCs w:val="28"/>
        </w:rPr>
        <w:t xml:space="preserve">Строительство роботизированной молочно-товарной фермы на 130 голов коров — </w:t>
      </w:r>
      <w:r>
        <w:rPr>
          <w:rFonts w:cs="PT Astra Serif"/>
          <w:bCs/>
          <w:color w:val="000000"/>
          <w:sz w:val="28"/>
          <w:szCs w:val="28"/>
        </w:rPr>
        <w:t xml:space="preserve">срок реализации проекта 2021-2026 годы. </w:t>
      </w:r>
      <w:r>
        <w:rPr>
          <w:rFonts w:cs="PT Astra Serif"/>
          <w:bCs/>
          <w:color w:val="000000"/>
          <w:sz w:val="28"/>
          <w:szCs w:val="28"/>
        </w:rPr>
        <w:t xml:space="preserve">Оформлен земельный участок площадью 14,6 га. Закуплены металлоконструкции под строительство роботизированной молочно-товарной фермы. </w:t>
      </w:r>
      <w:r>
        <w:rPr>
          <w:rFonts w:cs="PT Astra Serif"/>
          <w:bCs/>
          <w:color w:val="000000"/>
          <w:sz w:val="28"/>
          <w:szCs w:val="28"/>
        </w:rPr>
        <w:t xml:space="preserve">В стадии завершения монтаж </w:t>
      </w:r>
      <w:r>
        <w:rPr>
          <w:rFonts w:cs="PT Astra Serif"/>
          <w:bCs/>
          <w:color w:val="000000"/>
          <w:sz w:val="28"/>
          <w:szCs w:val="28"/>
        </w:rPr>
        <w:t xml:space="preserve">двух ферм. </w:t>
      </w:r>
      <w:r>
        <w:rPr>
          <w:rFonts w:cs="PT Astra Serif"/>
          <w:bCs/>
          <w:color w:val="000000"/>
          <w:sz w:val="28"/>
          <w:szCs w:val="28"/>
        </w:rPr>
        <w:t xml:space="preserve">Закуплены роботы для доения. </w:t>
      </w:r>
      <w:r>
        <w:rPr>
          <w:rFonts w:cs="PT Astra Serif"/>
          <w:bCs/>
          <w:color w:val="000000"/>
          <w:sz w:val="28"/>
          <w:szCs w:val="28"/>
        </w:rPr>
        <w:t xml:space="preserve">Планируется покупка 130 голов молочной </w:t>
      </w:r>
      <w:r>
        <w:rPr>
          <w:rFonts w:cs="PT Astra Serif"/>
          <w:bCs/>
          <w:color w:val="000000"/>
          <w:sz w:val="28"/>
          <w:szCs w:val="28"/>
        </w:rPr>
        <w:t xml:space="preserve">голштинской породы </w:t>
      </w:r>
      <w:r>
        <w:rPr>
          <w:rFonts w:cs="PT Astra Serif"/>
          <w:bCs/>
          <w:color w:val="000000"/>
          <w:sz w:val="28"/>
          <w:szCs w:val="28"/>
        </w:rPr>
        <w:t xml:space="preserve">в 2023 году. </w:t>
      </w:r>
      <w:r>
        <w:rPr>
          <w:rFonts w:cs="PT Astra Serif"/>
          <w:bCs/>
          <w:color w:val="000000"/>
          <w:sz w:val="28"/>
          <w:szCs w:val="28"/>
        </w:rPr>
        <w:t xml:space="preserve">Планируемый </w:t>
      </w:r>
      <w:r>
        <w:rPr>
          <w:rFonts w:cs="PT Astra Serif"/>
          <w:bCs/>
          <w:color w:val="000000"/>
          <w:sz w:val="28"/>
          <w:szCs w:val="28"/>
        </w:rPr>
        <w:t xml:space="preserve">общий </w:t>
      </w:r>
      <w:r>
        <w:rPr>
          <w:rFonts w:cs="PT Astra Serif"/>
          <w:bCs/>
          <w:color w:val="000000"/>
          <w:sz w:val="28"/>
          <w:szCs w:val="28"/>
        </w:rPr>
        <w:t xml:space="preserve">объем инвестиций </w:t>
      </w:r>
      <w:r>
        <w:rPr>
          <w:rFonts w:cs="PT Astra Serif"/>
          <w:bCs/>
          <w:color w:val="000000"/>
          <w:sz w:val="28"/>
          <w:szCs w:val="28"/>
        </w:rPr>
        <w:t>9</w:t>
      </w:r>
      <w:r>
        <w:rPr>
          <w:rFonts w:cs="PT Astra Serif"/>
          <w:bCs/>
          <w:color w:val="000000"/>
          <w:sz w:val="28"/>
          <w:szCs w:val="28"/>
        </w:rPr>
        <w:t xml:space="preserve">90 млн. рублей и с выходом на проектную мощность 1060 гол. и производством молока 6360 тонн в год. </w:t>
      </w:r>
      <w:r>
        <w:rPr>
          <w:rFonts w:cs="PT Astra Serif"/>
          <w:bCs/>
          <w:color w:val="000000"/>
          <w:sz w:val="28"/>
          <w:szCs w:val="28"/>
        </w:rPr>
        <w:t>Будет создано 2</w:t>
      </w:r>
      <w:r>
        <w:rPr>
          <w:rFonts w:cs="PT Astra Serif"/>
          <w:bCs/>
          <w:color w:val="000000"/>
          <w:sz w:val="28"/>
          <w:szCs w:val="28"/>
        </w:rPr>
        <w:t xml:space="preserve">0 рабочих мест с заработной платой </w:t>
      </w:r>
      <w:r>
        <w:rPr>
          <w:rFonts w:cs="PT Astra Serif"/>
          <w:bCs/>
          <w:color w:val="000000"/>
          <w:sz w:val="28"/>
          <w:szCs w:val="28"/>
        </w:rPr>
        <w:t xml:space="preserve">выше 35 </w:t>
      </w:r>
      <w:r>
        <w:rPr>
          <w:rFonts w:cs="PT Astra Serif"/>
          <w:bCs/>
          <w:color w:val="000000"/>
          <w:sz w:val="28"/>
          <w:szCs w:val="28"/>
        </w:rPr>
        <w:t xml:space="preserve">тыс. рублей. </w:t>
      </w:r>
      <w:r>
        <w:rPr>
          <w:rFonts w:cs="PT Astra Serif"/>
          <w:bCs/>
          <w:color w:val="000000"/>
          <w:sz w:val="28"/>
          <w:szCs w:val="28"/>
        </w:rPr>
        <w:t>В перспективе наладить переработку молока на территории района с производством сметаны, кефира и др. продуктов переработки молока.</w:t>
      </w:r>
    </w:p>
    <w:p>
      <w:pPr>
        <w:pStyle w:val="Normal"/>
        <w:shd w:fill="FFFFFF" w:val="clear"/>
        <w:suppressAutoHyphens w:val="true"/>
        <w:bidi w:val="0"/>
        <w:spacing w:lineRule="atLeast" w:line="100" w:before="0" w:after="240"/>
        <w:ind w:start="0" w:end="0" w:firstLine="709"/>
        <w:contextualSpacing/>
        <w:jc w:val="both"/>
        <w:textAlignment w:val="baseline"/>
        <w:rPr>
          <w:color w:val="000000"/>
        </w:rPr>
      </w:pPr>
      <w:r>
        <w:rPr>
          <w:rFonts w:cs="PT Astra Serif"/>
          <w:bCs/>
          <w:color w:val="000000"/>
          <w:sz w:val="28"/>
          <w:szCs w:val="28"/>
        </w:rPr>
        <w:t xml:space="preserve">Протоколы заседаний Совета также размещаются на официальном сайте администрации. </w:t>
      </w:r>
      <w:r>
        <w:rPr>
          <w:rFonts w:cs="PT Astra Serif"/>
          <w:bCs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uppressAutoHyphens w:val="true"/>
        <w:bidi w:val="0"/>
        <w:spacing w:lineRule="atLeast" w:line="100"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/>
          <w:bCs/>
          <w:color w:val="000000"/>
          <w:sz w:val="28"/>
          <w:szCs w:val="28"/>
        </w:rPr>
      </w:r>
    </w:p>
    <w:p>
      <w:pPr>
        <w:pStyle w:val="Normal"/>
        <w:shd w:fill="FFFFFF" w:val="clear"/>
        <w:suppressAutoHyphens w:val="true"/>
        <w:bidi w:val="0"/>
        <w:spacing w:lineRule="atLeast" w:line="100"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PT Astra Serif"/>
          <w:b/>
          <w:b/>
          <w:bCs/>
          <w:color w:val="000000"/>
          <w:sz w:val="28"/>
          <w:szCs w:val="28"/>
        </w:rPr>
      </w:pPr>
      <w:r>
        <w:rPr>
          <w:rFonts w:cs="PT Astra Serif"/>
          <w:b/>
          <w:bCs/>
          <w:color w:val="000000"/>
          <w:sz w:val="28"/>
          <w:szCs w:val="28"/>
        </w:rPr>
        <w:t>3.2. Мероприятия, направленные на реализацию плана инвестиционного развития</w:t>
      </w:r>
    </w:p>
    <w:tbl>
      <w:tblPr>
        <w:tblW w:w="1456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627"/>
        <w:gridCol w:w="5387"/>
        <w:gridCol w:w="2713"/>
        <w:gridCol w:w="2387"/>
        <w:gridCol w:w="3450"/>
      </w:tblGrid>
      <w:tr>
        <w:trPr/>
        <w:tc>
          <w:tcPr>
            <w:tcW w:w="6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 (квартал, год)</w:t>
            </w:r>
          </w:p>
        </w:tc>
        <w:tc>
          <w:tcPr>
            <w:tcW w:w="23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4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>
        <w:trPr/>
        <w:tc>
          <w:tcPr>
            <w:tcW w:w="14564" w:type="dxa"/>
            <w:gridSpan w:val="5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Нормативно — правовая основа повышения инвестиционной привлекательности района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принятие НПА, регулирующих вопросы инвестиционной деятельности 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и муниципального заказа 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нормативной правовой базы по вопросам инвестиционной деятельности; </w:t>
            </w:r>
            <w:r>
              <w:rPr>
                <w:sz w:val="28"/>
                <w:szCs w:val="28"/>
              </w:rPr>
              <w:t xml:space="preserve">улучшение взаимодействия с инвесторами; </w:t>
            </w:r>
            <w:r>
              <w:rPr>
                <w:sz w:val="28"/>
                <w:szCs w:val="28"/>
              </w:rPr>
              <w:t>улучшение инвестиционного климата в районе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регламента взаимодействия инвестора с органами местного самоуправления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Турковского муниципального района от 30.12.2013 года № 592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и муниципального заказа 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 xml:space="preserve">Регламент принят и размещен: </w:t>
            </w:r>
            <w:hyperlink r:id="rId3">
              <w:r>
                <w:rPr>
                  <w:rStyle w:val="InternetLink"/>
                  <w:sz w:val="28"/>
                  <w:szCs w:val="28"/>
                </w:rPr>
                <w:t>http://turki.sarmo.ru/zakupki/</w:t>
              </w:r>
            </w:hyperlink>
            <w:hyperlink r:id="rId4">
              <w:r>
                <w:rPr>
                  <w:rStyle w:val="InternetLink"/>
                  <w:sz w:val="28"/>
                  <w:szCs w:val="28"/>
                </w:rPr>
                <w:t>stranitsa-investora/munitsipalnoe-zakonodatelstvo-v-sfere-</w:t>
              </w:r>
            </w:hyperlink>
            <w:hyperlink r:id="rId5">
              <w:r>
                <w:rPr>
                  <w:rStyle w:val="InternetLink"/>
                  <w:sz w:val="28"/>
                  <w:szCs w:val="28"/>
                </w:rPr>
                <w:t>investitsionnoy-deyatelnosti/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4564" w:type="dxa"/>
            <w:gridSpan w:val="5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Повышение инвестиционной привлекательности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 недвижимого имущества (свободных нежилых помещений и свободных земельных участков</w:t>
            </w:r>
            <w:r>
              <w:rPr>
                <w:sz w:val="28"/>
                <w:szCs w:val="28"/>
              </w:rPr>
              <w:t>) находящегося в муниципальной собственности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 до 1 декабря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имущества 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инвестиционной деятельности; определение актуальной и объективной кадастровой стоимости объектов недвижимости для исчисления налоговой базы 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Разработка/актуализация инвестиционного паспорта 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 (актуализация ежегодно) 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и муниципального заказа 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 и размещен: </w:t>
            </w:r>
            <w:hyperlink r:id="rId6">
              <w:r>
                <w:rPr>
                  <w:rStyle w:val="InternetLink"/>
                  <w:sz w:val="28"/>
                  <w:szCs w:val="28"/>
                </w:rPr>
                <w:t>http://turki.sarmo.ru/zakupki/stranitsa-investora/investitsionnyy-pasport/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информации об инвестиционной привлекательности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и муниципального заказа 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открытость; стимулирование инвестиционной активности; повышение инвестиционной привлекательности района; </w:t>
            </w:r>
            <w:r>
              <w:rPr>
                <w:sz w:val="28"/>
                <w:szCs w:val="28"/>
              </w:rPr>
              <w:t>создание единой точки доступа к информации об инвестиционном потенциале; обеспечение оперативного доступа потенциальных инвесторов и соискателей инвестиций к информации об инвестиционных проектах и площадках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инвестиционного потенциала района, инвестиционных проектов и продукции предприятий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и муниципального заказа 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благоприятных условий для привлечения инвестиций; обеспечение устойчивого и качественного экономического роста  </w:t>
            </w:r>
          </w:p>
        </w:tc>
      </w:tr>
      <w:tr>
        <w:trPr/>
        <w:tc>
          <w:tcPr>
            <w:tcW w:w="14564" w:type="dxa"/>
            <w:gridSpan w:val="5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Развитие инвестиционной деятельности 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инвестиционных проектов и оказание консультационной помощи и содействия инвесторам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и муниципального заказа 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both"/>
              <w:rPr/>
            </w:pPr>
            <w:r>
              <w:rPr>
                <w:sz w:val="28"/>
                <w:szCs w:val="28"/>
              </w:rPr>
              <w:t xml:space="preserve">Оказание комплекса информационно — консультационных услуг; </w:t>
            </w:r>
            <w:r>
              <w:rPr>
                <w:sz w:val="28"/>
                <w:szCs w:val="28"/>
              </w:rPr>
              <w:t xml:space="preserve">оперативное выявление и решение проблемных вопросов, возникающих при реализации инвестиционных проектов 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новых инвестиционных площадок и ведение реестра, в т.ч.: 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50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на территорию района новых инвесторов; увеличение притока инвестиций; повышение инвестиционной привлекательности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доработка и наполнение информации по свободным площадкам и предоставление информации в АО «Корпорация развития Саратовской области»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 (до 1 июня, до 1 декабря)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и муниципального заказа администрации муниципального района</w:t>
            </w:r>
          </w:p>
        </w:tc>
        <w:tc>
          <w:tcPr>
            <w:tcW w:w="3450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параметров имеющейся на участках транспортной, коммунальной, инженерной инфраструктуры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 и ЖКХ администрации муниципального района</w:t>
            </w:r>
          </w:p>
        </w:tc>
        <w:tc>
          <w:tcPr>
            <w:tcW w:w="3450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технических заданий для привлечения инвестиций по свободным площадкам и направление в АО «Корпорация развития Саратовской области» </w:t>
            </w:r>
            <w:r>
              <w:rPr>
                <w:sz w:val="28"/>
                <w:szCs w:val="28"/>
              </w:rPr>
              <w:t>для развития животноводства, растениеводства и сферы туризма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и муниципального заказа администрации муниципального района</w:t>
            </w:r>
          </w:p>
        </w:tc>
        <w:tc>
          <w:tcPr>
            <w:tcW w:w="3450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 недвижимого имущества (свободных нежилых помещений и свободных земельных участков</w:t>
            </w:r>
            <w:r>
              <w:rPr>
                <w:sz w:val="28"/>
                <w:szCs w:val="28"/>
              </w:rPr>
              <w:t>) находящегося в муниципальной собственности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 до 1 декабря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 xml:space="preserve">имущества </w:t>
            </w: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инвестиционной деятельности; определение актуальной и объективной кадастровой стоимости объектов недвижимости для исчисления налоговой базы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формирование частных земельных участков перспективных для вовлечения в инвестиционное развитие территории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 xml:space="preserve">имущества </w:t>
            </w: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реализации инвестиционных проектов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корректировке и утверждению Правил землепользования и застройки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 xml:space="preserve">имущества </w:t>
            </w: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конкурентной среды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субъектам малого и среднего предпринимательства объектов недвижимости, в т.ч. земельных участков в аренду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обращения 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 xml:space="preserve">имущества </w:t>
            </w: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both"/>
              <w:rPr/>
            </w:pPr>
            <w:r>
              <w:rPr>
                <w:sz w:val="28"/>
                <w:szCs w:val="28"/>
              </w:rPr>
              <w:t>Формирование образа района как территории, привлекательной для бизнеса и открыто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для взаимовыгодного сотрудничества; </w:t>
            </w:r>
            <w:r>
              <w:rPr>
                <w:sz w:val="28"/>
                <w:szCs w:val="28"/>
              </w:rPr>
              <w:t>обеспечение притока инвестиций и достижение устойчивого социально — экономического развития за счет эффективной инвестиционной политики, и, как следствие, увеличение налогооблагаемой базы и количества рабочих мест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объектов </w:t>
            </w:r>
            <w:r>
              <w:rPr>
                <w:sz w:val="28"/>
                <w:szCs w:val="28"/>
              </w:rPr>
              <w:t xml:space="preserve">инфраструктуры </w:t>
            </w:r>
            <w:r>
              <w:rPr>
                <w:sz w:val="28"/>
                <w:szCs w:val="28"/>
              </w:rPr>
              <w:t>для возможности реализации проектов с использованием МЧП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 и ЖКХ 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механизмов государственно - частного партнерства</w:t>
            </w:r>
          </w:p>
        </w:tc>
      </w:tr>
      <w:tr>
        <w:trPr/>
        <w:tc>
          <w:tcPr>
            <w:tcW w:w="6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5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при подключении объектов к объектам коммунальной инфраструктуры </w:t>
            </w:r>
          </w:p>
        </w:tc>
        <w:tc>
          <w:tcPr>
            <w:tcW w:w="27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sz w:val="28"/>
                <w:szCs w:val="28"/>
              </w:rPr>
              <w:t xml:space="preserve">по мере </w:t>
            </w: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3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 и ЖКХ администрации муниципального района</w:t>
            </w:r>
          </w:p>
        </w:tc>
        <w:tc>
          <w:tcPr>
            <w:tcW w:w="3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качества предоставления муниципальных услуг; </w:t>
            </w:r>
            <w:r>
              <w:rPr>
                <w:sz w:val="28"/>
                <w:szCs w:val="28"/>
              </w:rPr>
              <w:t xml:space="preserve">снижение барьеров, препятствующих развитию инвестиционной деятельности; </w:t>
            </w:r>
            <w:r>
              <w:rPr>
                <w:sz w:val="28"/>
                <w:szCs w:val="28"/>
              </w:rPr>
              <w:t xml:space="preserve">совершенствование форм муниципальной поддержки инвестиционной деятельности на территории района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hd w:fill="FFFFFF" w:val="clear"/>
        <w:suppressAutoHyphens w:val="true"/>
        <w:bidi w:val="0"/>
        <w:spacing w:lineRule="atLeast" w:line="100" w:before="0" w:after="240"/>
        <w:ind w:start="0" w:end="0" w:firstLine="709"/>
        <w:contextualSpacing/>
        <w:jc w:val="both"/>
        <w:textAlignment w:val="baseline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/>
          <w:bCs/>
          <w:color w:val="000000"/>
          <w:sz w:val="28"/>
          <w:szCs w:val="28"/>
        </w:rPr>
      </w:r>
    </w:p>
    <w:p>
      <w:pPr>
        <w:pStyle w:val="Normal"/>
        <w:shd w:fill="FFFFFF" w:val="clear"/>
        <w:suppressAutoHyphens w:val="true"/>
        <w:bidi w:val="0"/>
        <w:spacing w:lineRule="atLeast" w:line="100" w:before="0" w:after="240"/>
        <w:ind w:start="0" w:end="0" w:firstLine="709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type w:val="nextPage"/>
      <w:pgSz w:orient="landscape" w:w="16838" w:h="11906"/>
      <w:pgMar w:left="1134" w:right="1134" w:header="0" w:top="532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default"/>
  </w:font>
  <w:font w:name="Arial">
    <w:charset w:val="01" w:characterSet="utf-8"/>
    <w:family w:val="roman"/>
    <w:pitch w:val="default"/>
  </w:font>
  <w:font w:name="PT Astra Serif">
    <w:charset w:val="01" w:characterSet="utf-8"/>
    <w:family w:val="roman"/>
    <w:pitch w:val="variable"/>
  </w:font>
  <w:font w:name="Times New Roman">
    <w:charset w:val="01" w:characterSet="utf-8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BodyTextIndent21">
    <w:name w:val="Body Text Indent 21"/>
    <w:basedOn w:val="Normal"/>
    <w:qFormat/>
    <w:pPr>
      <w:ind w:start="0" w:end="0" w:firstLine="720"/>
      <w:jc w:val="both"/>
    </w:pPr>
    <w:rPr>
      <w:szCs w:val="20"/>
    </w:rPr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start="283" w:end="0" w:hanging="0"/>
    </w:pPr>
    <w:rPr/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ind w:start="0" w:end="0" w:firstLine="720"/>
      <w:jc w:val="start"/>
    </w:pPr>
    <w:rPr>
      <w:rFonts w:ascii="Arial" w:hAnsi="Arial" w:eastAsia="Times New Roman" w:cs="Arial"/>
      <w:color w:val="auto"/>
      <w:kern w:val="2"/>
      <w:sz w:val="20"/>
      <w:szCs w:val="20"/>
      <w:lang w:eastAsia="ar-SA" w:val="ru-RU" w:bidi="hi-IN"/>
    </w:rPr>
  </w:style>
  <w:style w:type="paragraph" w:styleId="NormalWeb">
    <w:name w:val="Normal (Web)"/>
    <w:basedOn w:val="Normal"/>
    <w:qFormat/>
    <w:pPr>
      <w:spacing w:before="136" w:after="136"/>
      <w:ind w:start="0" w:end="54" w:hanging="0"/>
    </w:pPr>
    <w:rPr>
      <w:rFonts w:ascii="Arial" w:hAnsi="Arial" w:eastAsia="Arial Unicode MS" w:cs="Arial"/>
      <w:color w:val="000000"/>
    </w:rPr>
  </w:style>
  <w:style w:type="paragraph" w:styleId="3">
    <w:name w:val="Абзац списка3"/>
    <w:basedOn w:val="Normal"/>
    <w:qFormat/>
    <w:pPr/>
    <w:rPr>
      <w:rFonts w:eastAsia="PMingLiU"/>
      <w:kern w:val="2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start="720" w:end="0" w:hanging="0"/>
      <w:contextualSpacing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15">
    <w:name w:val="Обычный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6">
    <w:name w:val="Абзац списка"/>
    <w:basedOn w:val="Normal"/>
    <w:qFormat/>
    <w:pPr>
      <w:tabs>
        <w:tab w:val="clear" w:pos="709"/>
      </w:tabs>
      <w:suppressAutoHyphens w:val="true"/>
      <w:spacing w:before="0" w:after="200"/>
      <w:ind w:start="720" w:end="0" w:hanging="0"/>
    </w:pPr>
    <w:rPr/>
  </w:style>
  <w:style w:type="numbering" w:styleId="36769980491">
    <w:name w:val="3676998049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urki.sarmo.ru/" TargetMode="External"/><Relationship Id="rId3" Type="http://schemas.openxmlformats.org/officeDocument/2006/relationships/hyperlink" Target="http://turki.sarmo.ru/zakupki/stranitsa-investora/munitsipalnoe-zakonodatelstvo-v-sfere-investitsionnoy-deyatelnosti/" TargetMode="External"/><Relationship Id="rId4" Type="http://schemas.openxmlformats.org/officeDocument/2006/relationships/hyperlink" Target="http://turki.sarmo.ru/zakupki/stranitsa-investora/munitsipalnoe-zakonodatelstvo-v-sfere-investitsionnoy-deyatelnosti/" TargetMode="External"/><Relationship Id="rId5" Type="http://schemas.openxmlformats.org/officeDocument/2006/relationships/hyperlink" Target="http://turki.sarmo.ru/zakupki/stranitsa-investora/munitsipalnoe-zakonodatelstvo-v-sfere-investitsionnoy-deyatelnosti/" TargetMode="External"/><Relationship Id="rId6" Type="http://schemas.openxmlformats.org/officeDocument/2006/relationships/hyperlink" Target="http://turki.sarmo.ru/zakupki/stranitsa-investora/investitsionnyy-pasport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1346</TotalTime>
  <Application>LibreOffice/7.0.0.3$Linux_X86_64 LibreOffice_project/00$Build-3</Application>
  <Pages>21</Pages>
  <Words>4939</Words>
  <Characters>34576</Characters>
  <CharactersWithSpaces>39317</CharactersWithSpaces>
  <Paragraphs>409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2022-12-06T10:14:32Z</dcterms:modified>
  <cp:revision>125</cp:revision>
  <dc:subject/>
  <dc:title/>
</cp:coreProperties>
</file>