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E5" w:rsidRDefault="006954FA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46" w:rsidRDefault="00C77646">
      <w:pPr>
        <w:jc w:val="center"/>
        <w:rPr>
          <w:rFonts w:ascii="PT Astra Serif" w:hAnsi="PT Astra Serif"/>
        </w:rPr>
      </w:pPr>
    </w:p>
    <w:p w:rsidR="00663BE5" w:rsidRDefault="006954F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</w:t>
      </w:r>
    </w:p>
    <w:p w:rsidR="00663BE5" w:rsidRDefault="006954F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ТУРКОВСКОГО МУНИЦИПАЛЬНОГО РАЙОНА</w:t>
      </w:r>
    </w:p>
    <w:p w:rsidR="00663BE5" w:rsidRDefault="006954F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lang w:val="en-US"/>
        </w:rPr>
        <w:t>C</w:t>
      </w:r>
      <w:r>
        <w:rPr>
          <w:rFonts w:ascii="PT Astra Serif" w:hAnsi="PT Astra Serif"/>
          <w:b/>
        </w:rPr>
        <w:t>АРАТОВСКОЙ ОБЛАСТИ</w:t>
      </w:r>
    </w:p>
    <w:p w:rsidR="00663BE5" w:rsidRDefault="00663BE5">
      <w:pPr>
        <w:pStyle w:val="aff8"/>
        <w:jc w:val="center"/>
        <w:rPr>
          <w:rFonts w:ascii="PT Astra Serif" w:hAnsi="PT Astra Serif" w:hint="eastAsia"/>
          <w:b/>
          <w:bCs/>
          <w:sz w:val="32"/>
          <w:szCs w:val="32"/>
          <w:lang w:eastAsia="ru-RU"/>
        </w:rPr>
      </w:pPr>
    </w:p>
    <w:p w:rsidR="00663BE5" w:rsidRDefault="006954FA">
      <w:pPr>
        <w:pStyle w:val="aff8"/>
        <w:jc w:val="center"/>
        <w:rPr>
          <w:rFonts w:ascii="PT Astra Serif" w:hAnsi="PT Astra Serif" w:hint="eastAsia"/>
        </w:rPr>
      </w:pPr>
      <w:r>
        <w:rPr>
          <w:rFonts w:ascii="PT Astra Serif" w:hAnsi="PT Astra Serif"/>
          <w:b/>
          <w:bCs/>
          <w:sz w:val="32"/>
          <w:szCs w:val="32"/>
          <w:lang w:eastAsia="ru-RU"/>
        </w:rPr>
        <w:t>ПОСТАНОВЛЕНИЕ</w:t>
      </w:r>
    </w:p>
    <w:p w:rsidR="00663BE5" w:rsidRDefault="00663BE5">
      <w:pPr>
        <w:pStyle w:val="aff8"/>
        <w:jc w:val="center"/>
        <w:rPr>
          <w:rFonts w:ascii="PT Astra Serif" w:hAnsi="PT Astra Serif" w:hint="eastAsia"/>
          <w:sz w:val="32"/>
          <w:szCs w:val="32"/>
          <w:lang w:eastAsia="ru-RU"/>
        </w:rPr>
      </w:pPr>
      <w:bookmarkStart w:id="0" w:name="_GoBack"/>
      <w:bookmarkEnd w:id="0"/>
    </w:p>
    <w:p w:rsidR="00663BE5" w:rsidRDefault="006954FA">
      <w:r>
        <w:rPr>
          <w:rFonts w:ascii="PT Astra Serif" w:hAnsi="PT Astra Serif"/>
          <w:sz w:val="28"/>
          <w:szCs w:val="28"/>
        </w:rPr>
        <w:t xml:space="preserve">От </w:t>
      </w:r>
      <w:r w:rsidR="00CB0053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.02.2024 г.</w:t>
      </w:r>
      <w:r>
        <w:rPr>
          <w:rFonts w:ascii="PT Astra Serif" w:hAnsi="PT Astra Serif"/>
          <w:sz w:val="28"/>
          <w:szCs w:val="28"/>
        </w:rPr>
        <w:tab/>
        <w:t xml:space="preserve">  № </w:t>
      </w:r>
      <w:r w:rsidR="00CB0053">
        <w:rPr>
          <w:rFonts w:ascii="PT Astra Serif" w:hAnsi="PT Astra Serif"/>
          <w:sz w:val="28"/>
          <w:szCs w:val="28"/>
        </w:rPr>
        <w:t>59</w:t>
      </w:r>
    </w:p>
    <w:p w:rsidR="00663BE5" w:rsidRDefault="00663BE5">
      <w:pPr>
        <w:jc w:val="center"/>
        <w:rPr>
          <w:rFonts w:ascii="PT Astra Serif" w:hAnsi="PT Astra Serif"/>
          <w:sz w:val="28"/>
          <w:szCs w:val="28"/>
        </w:rPr>
      </w:pPr>
    </w:p>
    <w:p w:rsidR="00BB15D2" w:rsidRDefault="006954FA" w:rsidP="00BB15D2">
      <w:pPr>
        <w:ind w:right="3401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Программу социал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но-экономического развития Турковского </w:t>
      </w:r>
    </w:p>
    <w:p w:rsidR="00663BE5" w:rsidRDefault="006954FA" w:rsidP="00BB15D2">
      <w:pPr>
        <w:ind w:right="3401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у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ниципального района на 2022-2024 годы</w:t>
      </w:r>
    </w:p>
    <w:p w:rsidR="00663BE5" w:rsidRDefault="00663BE5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63BE5" w:rsidRDefault="006954F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Уставом Турковского муниципального района админ</w:t>
      </w:r>
      <w:r>
        <w:rPr>
          <w:rFonts w:ascii="PT Astra Serif" w:hAnsi="PT Astra Serif"/>
          <w:color w:val="000000"/>
          <w:sz w:val="28"/>
          <w:szCs w:val="28"/>
        </w:rPr>
        <w:t>и</w:t>
      </w:r>
      <w:r>
        <w:rPr>
          <w:rFonts w:ascii="PT Astra Serif" w:hAnsi="PT Astra Serif"/>
          <w:color w:val="000000"/>
          <w:sz w:val="28"/>
          <w:szCs w:val="28"/>
        </w:rPr>
        <w:t>страции Турковского муниципального района ПОСТАНОВЛЯЕТ:</w:t>
      </w:r>
    </w:p>
    <w:p w:rsidR="00663BE5" w:rsidRDefault="006954FA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1. Внести в Программу социально-экономического развития Турковского муниципального района на 2022-2024 годы, утвержденную постановлением а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министрации Турковского муниципального района от 22 августа 2022 года № 620, следующие изменения:</w:t>
      </w:r>
    </w:p>
    <w:p w:rsidR="00663BE5" w:rsidRDefault="006954F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позиции «Ожидаемые конечные результаты Программы </w:t>
      </w:r>
      <w:r>
        <w:rPr>
          <w:rFonts w:ascii="PT Astra Serif" w:hAnsi="PT Astra Serif"/>
          <w:i/>
          <w:iCs/>
          <w:sz w:val="28"/>
          <w:szCs w:val="28"/>
        </w:rPr>
        <w:t>(базовый год 2021)</w:t>
      </w:r>
      <w:r>
        <w:rPr>
          <w:rFonts w:ascii="PT Astra Serif" w:hAnsi="PT Astra Serif"/>
          <w:sz w:val="28"/>
          <w:szCs w:val="28"/>
        </w:rPr>
        <w:t>» паспорта Программы:</w:t>
      </w:r>
    </w:p>
    <w:p w:rsidR="00663BE5" w:rsidRDefault="006954FA">
      <w:pPr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слова «Средняя заработная плата вырастет в 1,3 раза и составит 36206,2 рублей; уровень регистрируемой безработицы составит 2,1 процента от числе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ности экономически активного населения района; ожидаемая продолжител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ность жизни населения составит 73,3 года; объем инвестиций увеличится в 1,1 раза и составит 375,4 млн. рублей.» заменить словами «Средняя заработная плата вырастет в </w:t>
      </w:r>
      <w:r>
        <w:rPr>
          <w:rFonts w:ascii="PT Astra Serif" w:hAnsi="PT Astra Serif"/>
          <w:color w:val="000000"/>
          <w:sz w:val="28"/>
          <w:szCs w:val="28"/>
        </w:rPr>
        <w:t>1,3</w:t>
      </w:r>
      <w:r>
        <w:rPr>
          <w:rFonts w:ascii="PT Astra Serif" w:hAnsi="PT Astra Serif"/>
          <w:sz w:val="28"/>
          <w:szCs w:val="28"/>
        </w:rPr>
        <w:t xml:space="preserve"> раза и составит</w:t>
      </w:r>
      <w:r>
        <w:rPr>
          <w:rFonts w:ascii="PT Astra Serif" w:hAnsi="PT Astra Serif"/>
          <w:color w:val="000000"/>
          <w:sz w:val="28"/>
          <w:szCs w:val="28"/>
        </w:rPr>
        <w:t xml:space="preserve"> 36145,0</w:t>
      </w:r>
      <w:r>
        <w:rPr>
          <w:rFonts w:ascii="PT Astra Serif" w:hAnsi="PT Astra Serif"/>
          <w:sz w:val="28"/>
          <w:szCs w:val="28"/>
        </w:rPr>
        <w:t xml:space="preserve"> рублей;</w:t>
      </w:r>
      <w:proofErr w:type="gramEnd"/>
      <w:r>
        <w:rPr>
          <w:rFonts w:ascii="PT Astra Serif" w:hAnsi="PT Astra Serif"/>
          <w:sz w:val="28"/>
          <w:szCs w:val="28"/>
        </w:rPr>
        <w:t xml:space="preserve"> уровень регистрируемой безработицы составит 2,1 процента от численности экономически активного населения района; ожидаемая продолжительность жизни населения составит 73,3 года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="00C77646">
        <w:rPr>
          <w:rFonts w:ascii="PT Astra Serif" w:hAnsi="PT Astra Serif"/>
          <w:sz w:val="28"/>
          <w:szCs w:val="28"/>
        </w:rPr>
        <w:t>;</w:t>
      </w:r>
      <w:proofErr w:type="gramEnd"/>
    </w:p>
    <w:p w:rsidR="00663BE5" w:rsidRDefault="006954F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дополнить Программу социально-экономического развития Турковского муниципального района на 2022-2024 годы Разделом 3. «Мероприятия, напра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ленные на достижение показателей Программы в 2024 году» и Разделом 4. «Показатели Программы, достижение которых осуществляется за счет мер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приятий, закрепленных в Разделе 3.» согласно приложению.</w:t>
      </w:r>
    </w:p>
    <w:p w:rsidR="00663BE5" w:rsidRDefault="006954F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его подписания.</w:t>
      </w:r>
    </w:p>
    <w:p w:rsidR="00663BE5" w:rsidRDefault="00663BE5">
      <w:pPr>
        <w:rPr>
          <w:rFonts w:ascii="PT Astra Serif" w:hAnsi="PT Astra Serif" w:cs="Arial"/>
        </w:rPr>
      </w:pPr>
    </w:p>
    <w:p w:rsidR="00663BE5" w:rsidRDefault="00663BE5">
      <w:pPr>
        <w:rPr>
          <w:rFonts w:ascii="PT Astra Serif" w:hAnsi="PT Astra Serif" w:cs="Arial"/>
        </w:rPr>
      </w:pPr>
    </w:p>
    <w:p w:rsidR="00663BE5" w:rsidRDefault="00663BE5">
      <w:pPr>
        <w:rPr>
          <w:rFonts w:ascii="PT Astra Serif" w:hAnsi="PT Astra Serif" w:cs="Arial"/>
        </w:rPr>
      </w:pPr>
    </w:p>
    <w:p w:rsidR="00663BE5" w:rsidRDefault="006954FA">
      <w:pPr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663BE5" w:rsidRDefault="006954FA">
      <w:pPr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</w:t>
      </w:r>
      <w:bookmarkStart w:id="1" w:name="_GoBack1"/>
      <w:bookmarkEnd w:id="1"/>
      <w:r>
        <w:rPr>
          <w:rFonts w:ascii="PT Astra Serif" w:hAnsi="PT Astra Serif"/>
          <w:b/>
          <w:sz w:val="28"/>
          <w:szCs w:val="28"/>
        </w:rPr>
        <w:t>А.В. Никитин</w:t>
      </w:r>
    </w:p>
    <w:p w:rsidR="00663BE5" w:rsidRDefault="00663BE5">
      <w:pPr>
        <w:rPr>
          <w:rFonts w:ascii="PT Astra Serif" w:hAnsi="PT Astra Serif"/>
        </w:rPr>
        <w:sectPr w:rsidR="00663BE5">
          <w:pgSz w:w="11906" w:h="16838"/>
          <w:pgMar w:top="284" w:right="567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663BE5" w:rsidRDefault="006954FA" w:rsidP="006954FA">
      <w:pPr>
        <w:pStyle w:val="aff8"/>
        <w:ind w:left="5760"/>
        <w:jc w:val="center"/>
        <w:rPr>
          <w:rFonts w:ascii="PT Astra Serif" w:hAnsi="PT Astra Serif" w:hint="eastAsia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Приложение к постановлению </w:t>
      </w:r>
    </w:p>
    <w:p w:rsidR="00663BE5" w:rsidRDefault="006954FA">
      <w:pPr>
        <w:pStyle w:val="aff8"/>
        <w:ind w:left="5760"/>
        <w:jc w:val="right"/>
        <w:rPr>
          <w:rFonts w:ascii="PT Astra Serif" w:hAnsi="PT Astra Serif" w:hint="eastAsia"/>
        </w:rPr>
      </w:pP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63BE5" w:rsidRDefault="006954FA" w:rsidP="006954FA">
      <w:pPr>
        <w:pStyle w:val="aff8"/>
        <w:ind w:left="5760"/>
        <w:jc w:val="center"/>
        <w:rPr>
          <w:rFonts w:ascii="PT Astra Serif" w:hAnsi="PT Astra Serif" w:hint="eastAsia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района от </w:t>
      </w:r>
      <w:r>
        <w:rPr>
          <w:rFonts w:ascii="PT Astra Serif" w:hAnsi="PT Astra Serif"/>
          <w:sz w:val="28"/>
          <w:szCs w:val="20"/>
        </w:rPr>
        <w:t>08.02.2024 г. № 59</w:t>
      </w:r>
    </w:p>
    <w:p w:rsidR="00663BE5" w:rsidRDefault="006954FA">
      <w:pPr>
        <w:pStyle w:val="western"/>
        <w:suppressAutoHyphens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«Раздел 3. Мероприятия, направленные на достижение показателей Программы в 2024 году</w:t>
      </w:r>
    </w:p>
    <w:p w:rsidR="00663BE5" w:rsidRDefault="00663BE5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1489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9"/>
        <w:gridCol w:w="7952"/>
        <w:gridCol w:w="1981"/>
        <w:gridCol w:w="4063"/>
      </w:tblGrid>
      <w:tr w:rsidR="00663BE5"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7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663BE5">
        <w:tc>
          <w:tcPr>
            <w:tcW w:w="148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1. Повышение эффективности формирования налоговой базы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Разработка и реализация мер по увеличению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не менее чем на 10%, за счет: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мониторинга уровня заработной платы по плательщикам — работодателям, осуществляющим свою деятельность на территории муниципального района;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организации мероприятий по легализации «теневой» заработной платы и снижению неформальной занятости на территории муниципального района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Ежемесячно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1.1.3. 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и проведение заседаний межведомственных комиссий по снижению неформальной занятости (2 раза в месяц)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148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2. Повышение эффективности администрирования налогов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деятельности комиссии по вопросам увеличения налоговой базы в Турковском муниципальном районе в части: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и проведение заседаний комиссии (1 раз в месяц)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Ежемесячно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выходы к работодателям с целью информирования и выявления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лиц с признаками неформальных трудовых отношений на территории муниципального района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экономики 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деятельности рабочей группы по снижению неформальной занятости, легализации заработной платы и повышению собираемости страховых взносов во внебюджетные фонды (далее — рабочая группа) в части: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2.2.1.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и проведение заседаний межведомственных комиссий по снижению неформальной занятости (2 раза в месяц)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Ежемесячно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Земельный налог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в МИ ФНС России № 12 по Саратовской области списков о земельных участках, выявленных в результате работы органов местного самоуправления поселений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Сверка с МИ ФНС России № 12 по Саратовской области сведений о количестве земельных участков, учтенных в налоговой базе в текущем году по состоянию на 01.01.2024 г.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запросу в МИ ФНС России № 12 по Саратовской области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2.3.3.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Сверка с МИ ФНС России № 12 по Саратовской области сведений о количестве земельных участков, учтенных в налоговой базе по результатам деятельности органов местного самоуправления на отчетную дату нарастающим итогом: на 01 апреля, 01 июля, 01 октября, 01 января года, следующего за отчетным годом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2.3.4.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инвентаризации земельных участков: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предоставленных ранее в собственность юридическим и физическим лицам, с целью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подтверждения факта регистрации права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 данным Управления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Саратовской области и проведения сверки с налоговыми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органами на предмет постановки на налоговый учет и уплаты земельного налога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2.3.5.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мероприятий по выявлению и обеспечению внесения в Единый государственный реестр недвижимости (далее — ЕГРН) сведений о правообладателях ранее учтенных земельных участков на основании ст. 69.1 Федерального закона 218-ФЗ от 13.07.2015 г.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2.3.6.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Получение, на основе сведений ЕГРН, данных об объектах недвижимости, в отношении которых: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не рассчитана кадастровая стоимость (налоговая база), в том числе по причине отсутствия сведений о категории земель и (или) виде разрешенного использования, установления вида разрешенного использования, не позволяющего рассчитать кадастровую стоимость; 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отсутствует площадь объекта;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значение кадастровой стоимости определено в размере менее 100 рублей;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отсутствуют исчерпывающие сведения, позволяющие однозначно установить правообладателя земельного участка (например, в части сведений о правах имеются только Ф.И.О. физического лица и т. п.);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отсутствуют адресные сведения, позволяющие привести адрес объекта в соответствие со структурой адресных данных, предусмотренной для ведения Федеральной информационной адресной системы 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Ежеквартально 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2.3.7.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мероприятий по определению (уточнению) характеристик объектов недвижимого имущества с целью вовлечения их в налоговый оборот по запросам, направляемым Управлением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Саратовской области и ГБУ Саратовской области «Центр государственной кадастровой оценки», в том числе: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принятие решений об определении категории земель и (или) вида разрешенного использования земельных участков;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установление (уточнение) адреса места нахождения объектов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недвижимости;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определение групп видов разрешенного использования земельных участков и нормативно-техническими документами по государственной кадастровой оценке земель, к которым относятся земельные участки;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уточнение отсутствующих характеристик объекта (площади, категории и др.)  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2.3.8.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Направление соответствующих решений/сведений для внесения в ЕГРН в порядке, установленном для информационного взаимодействия с органами, осуществляющими государственный кадастровый учет и ведение ЕГРН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2.3.9.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Внесение органами местного самоуправления изменений в изданные правоустанавливающие документы на землю в случае выявления технических ошибок в указании категорий земельных участков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2.3.10.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Выявление фактически используемых земельных участков, права на которые не зарегистрированы в установленном порядке. Принятие мер, направленных на оформление прав на такие земельные участки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2.3.11.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Представление в Управление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Саратовской области списков организаций и физических лиц, использующих земли не по целевому назначению, владеющих земельными участками, но не зарегистрировавших в установленном порядке свои права на эти земельные участки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2.3.12.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Выявление земельных участков с видом разрешенного использования индивидуальное жилищное строительство, на которых осуществляется предпринимательская деятельность. Составление актов обследования с фиксацией фотоматериалов, подтверждающего использование земельных участков в предпринимательской деятельности и направление их в МИ ФНС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России № 12 по Саратовской области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налог на имущество организаций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в адрес МИ ФНС России № 12 по Саратовской области списков о строениях, помещениях и сооружениях, выявленных в результате работы органов местного самоуправления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Сверка с МИ ФНС России № 12 по Саратовской области сведений о количестве строений, помещений и сооружений, учтенных в налоговой базе в текущем голу по состоянию на 01.01.2024 г.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запросу МИ ФНС России № 12 по Саратовской области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2.4.3.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Сверка с МИ ФНС России № 12 по Саратовской области сведений о количестве строений, помещений и сооружений, учтенных в налоговой базе по результатам деятельности органов местного самоуправления на отчетную дату нарастающим итогом: на 01 апреля, 01 июля, 01 октября, 01 января года, следующего за отчетным годом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2.4.4.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работ по дополнению и/или уточнению сведений. В том числе: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установление (уточнение) площадей зданий, помещений, сооружений;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установление (уточнение) адресов места нахождения зданий, помещений, сооружений;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установление правообладателей зданий, помещений, сооружений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2.4.5.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мероприятий по выявлению и обеспечению внесения в ЕГРН, сведений о правообладателях ранее учтенных объектов имущества на основании ст. 69.1 федерального закона 218-ФЗ от 13.07.2015 г. 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2.4.6.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в адрес инспекции государственного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строительного надзора Саратовской области (далее — Инспекция) списка организаций и физических лиц, получивших разрешение на ввод объектов в эксплуатацию в случаях строительства, реконструкции объектов капитального строительства нежилого назначения (производственного, административно — делового, торгового и иного коммерческого назначения) в том числе расположенных в многоквартирных жилых домах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градостроительству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2.4.7.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в адрес Инспекции списка юридических и физических лиц, осуществляющих самовольное строительство объектов капитального строительства нежилого назначения (производственного, административно — делового, торгового и иного коммерческого назначения), в том числе расположенных в многоквартирных жилых домах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2.4.8.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Выявление фактически используемых объектов капитального строительства, права на которые не зарегистрированы в установленном порядке. Принятие мер, направленных на оформление прав на такие объекты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2.5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2.5.1.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мониторинга поступления налога на доходы физических (далее — НДФЛ), в том числе в разрезе плательщиков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Ежемесячно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2.5.2.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адресной работы с организациями, предоставившими сведения о сокращении численности или штата работников или неполной занятости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2.5.3.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информации в адрес инспекции ФНС России № 12 по Саратовской области о юридических лицах, в том числе обособленных подразделениях, индивидуальных предпринимателях, осуществляющих деятельность на территории муниципального района без регистрации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налоговых органах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148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3. Повышение эффективности администрирования неналоговых доходов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мониторинга поступления неналоговых доходов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Принятие мер, направленных на сокращение объемов дебиторской задолженности: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инвентаризация числящейся на балансовом учете дебиторской задолженности;</w:t>
            </w:r>
          </w:p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проведение заседаний комиссии по рассмотрению вопросов о признании безнадежной к взысканию и списанию задолженности по неналоговым доходам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3.3.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63BE5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3.3.1.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Мониторинг задолженности по арендной плате за пользованием муниципальным имуществом и земельными участками, в разрезе арендаторов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Ежемесячно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3.3.2.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эффективным использованием объектов муниципального имущества (используемых на праве хозяйственного ведения, аренды, безвозмездного пользования)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3.3.3.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соответствием фактически установленных рекламных конструкций, утвержденной схеме. Расширение ме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ст в сх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еме размещения рекламных конструкций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148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4.  Осуществление взаимодействия по вопросам ведения федеральной информационной системы  (ФИАС)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актуализации содержащихся в ФИАС сведений об адресах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градостроительству жилищно-коммунального хозяйства и имущества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Турковского муниципального района</w:t>
            </w:r>
          </w:p>
        </w:tc>
      </w:tr>
      <w:tr w:rsidR="00663BE5">
        <w:tc>
          <w:tcPr>
            <w:tcW w:w="148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5. Мероприятия, направленные на развитие малого и среднего предпринимательства 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мероприятий (в том числе: семинары, совещания, круглые столы, консультации) для субъектов малого и среднего предпринимательства в сфере поддержки и развития предпринимательской деятельности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мероприятий по переходу физических лиц из категории личных подсобных хозяйств в индивидуальные предприниматели, за счет участия в программе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Агростартап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сельского хозяйства и продовольствия администрации Турковского муниципального района 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5.3.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мероприятий по расширению производства продукции животноводства за счет участия хозяйствующих субъектов в программе «Семейная ферма»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сельского хозяйства и продовольствия администрации Турковского муниципального района 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5.4.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Оказание информационной и технической помощи субъектам МСП для получения ими комплекса мер финансовой поддержки в виде льготного кредитования субъектов МСП в Фонде микрокредитования и гарантийной поддержки Гарантийного фонда Саратовской области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5.5. 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Поддержка актуального перечня имущества, предлагаемого для предоставления субъектам МСП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5.6.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Размещение информационных материалов на официальном сайте администрации, в СМИ и т. д. для субъектов предпринимательства,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с целью содействия субъектов малого и среднего предпринимательства на территории района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1489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6. Мероприятия, направленные на создание благоприятной среды для привлечения инвестиций 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6.1.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механизмов поддержки инвестиционных проектов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экономики и муниципального заказа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Турковского муниципального района, Управление сельского хозяйства и продовольствия администрации Турковского муниципального района 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Внесение сведений в базу данных инвестиционных проектов, свободных производственных площадок и территорий для застройки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6.3.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и проведение регулярных контактов с инвесторами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экономики и муниципального заказа администрации Турковского муниципального района, Управление сельского хозяйства и продовольствия администрации Турковского муниципального района </w:t>
            </w:r>
          </w:p>
        </w:tc>
      </w:tr>
      <w:tr w:rsidR="00663BE5"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6.4.</w:t>
            </w:r>
          </w:p>
        </w:tc>
        <w:tc>
          <w:tcPr>
            <w:tcW w:w="795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Инвентаризация неиспользуемых объектов недвижимости для оценки возможности вовлечения их в инвестиционные проекты и предложения инвесторам 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pStyle w:val="aff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градостроительству жилищно-коммунального хозяйства и имущества администрации Турковского муниципального района</w:t>
            </w:r>
          </w:p>
        </w:tc>
      </w:tr>
    </w:tbl>
    <w:p w:rsidR="00663BE5" w:rsidRDefault="00663BE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3BE5" w:rsidRDefault="006954FA">
      <w:pPr>
        <w:tabs>
          <w:tab w:val="left" w:pos="0"/>
        </w:tabs>
        <w:ind w:firstLine="709"/>
        <w:jc w:val="both"/>
        <w:rPr>
          <w:b/>
          <w:bCs/>
          <w:color w:val="C9211E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Разделом 4. Показатели Программы, достижение которых осуществляется за счет мероприятий, закрепленных в Разделе 3.</w:t>
      </w:r>
    </w:p>
    <w:p w:rsidR="00663BE5" w:rsidRDefault="00663BE5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850" w:type="dxa"/>
        <w:tblInd w:w="118" w:type="dxa"/>
        <w:tblLook w:val="04A0" w:firstRow="1" w:lastRow="0" w:firstColumn="1" w:lastColumn="0" w:noHBand="0" w:noVBand="1"/>
      </w:tblPr>
      <w:tblGrid>
        <w:gridCol w:w="12195"/>
        <w:gridCol w:w="2655"/>
      </w:tblGrid>
      <w:tr w:rsidR="00663BE5">
        <w:tc>
          <w:tcPr>
            <w:tcW w:w="1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Показатель эффективности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Целевой ориентир на 2024 г.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Индекс промышленного производства,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101,5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продукции сельского хозяйства, млн.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6662,4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жилищного строительства, кв. м.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розничной торговли,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Оборот общественного питания,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35,1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инвестиций в основной капитал (без субъектов малого предпринимательства),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инвестиций в основной капитал (за исключением бюджетных средств) на 1 жителя, тыс.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созданных новых рабочих мест, ед.,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Среднемесячная заработная плата (в организациях, не относящихся к субъектам малого предпр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нимательства, включая организации, численностью до 15 человек), руб., в том числе в разрезе в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дов экономической деятельности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36145,0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заработной платы,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Сельское, лесное хозяйство, охота, рыболовство и рыбоводство,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50055,0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Торговля оптовая и розничная; ремонт автотранспортных средств и мотоциклов,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34739,0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Транспортировка и хранение,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26739,0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Средний доход одного работника,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29199,6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среднего дохода одного работника,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</w:tr>
      <w:tr w:rsidR="00663BE5">
        <w:trPr>
          <w:trHeight w:val="220"/>
        </w:trPr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Уровень регистрируемой безработицы,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естественного прироста/убыли (на 1000 человек населения)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-14,2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рождаемости,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смертности,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18,5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действующих субъектов малого и среднего предпринимательства на 1000 чел, темп р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%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22,51; 103,0%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информационной работы с субъектами предпринимательства о действующих мерах поддержки бизнеса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доходов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406,7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налоговые и неналоговые доходы,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117,8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расходов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411,8»</w:t>
            </w:r>
          </w:p>
        </w:tc>
      </w:tr>
    </w:tbl>
    <w:p w:rsidR="00663BE5" w:rsidRDefault="00663BE5">
      <w:pPr>
        <w:rPr>
          <w:rFonts w:ascii="PT Astra Serif" w:hAnsi="PT Astra Serif"/>
        </w:rPr>
      </w:pPr>
    </w:p>
    <w:p w:rsidR="00663BE5" w:rsidRDefault="00663BE5">
      <w:pPr>
        <w:tabs>
          <w:tab w:val="left" w:pos="0"/>
        </w:tabs>
        <w:ind w:firstLine="709"/>
        <w:jc w:val="both"/>
        <w:rPr>
          <w:color w:val="C9211E"/>
        </w:rPr>
      </w:pPr>
    </w:p>
    <w:sectPr w:rsidR="00663BE5">
      <w:pgSz w:w="16798" w:h="11906" w:orient="landscape"/>
      <w:pgMar w:top="567" w:right="800" w:bottom="142" w:left="11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3BE5"/>
    <w:rsid w:val="002843F9"/>
    <w:rsid w:val="00663BE5"/>
    <w:rsid w:val="006954FA"/>
    <w:rsid w:val="00BB15D2"/>
    <w:rsid w:val="00C77646"/>
    <w:rsid w:val="00C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50">
    <w:name w:val="Заголовок 5 Знак"/>
    <w:qFormat/>
    <w:rPr>
      <w:b/>
      <w:sz w:val="28"/>
    </w:rPr>
  </w:style>
  <w:style w:type="character" w:customStyle="1" w:styleId="60">
    <w:name w:val="Заголовок 6 Знак"/>
    <w:qFormat/>
    <w:rPr>
      <w:b/>
      <w:sz w:val="22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21">
    <w:name w:val="Основной текст с отступом 2 Знак"/>
    <w:qFormat/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a6">
    <w:name w:val="Название Знак"/>
    <w:qFormat/>
    <w:rPr>
      <w:b/>
      <w:spacing w:val="40"/>
      <w:sz w:val="28"/>
      <w:szCs w:val="24"/>
    </w:rPr>
  </w:style>
  <w:style w:type="character" w:customStyle="1" w:styleId="a7">
    <w:name w:val="Обычный (веб) Знак"/>
    <w:qFormat/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/>
      <w:sz w:val="22"/>
      <w:lang w:bidi="ar-SA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b w:val="0"/>
    </w:rPr>
  </w:style>
  <w:style w:type="character" w:customStyle="1" w:styleId="2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aa">
    <w:name w:val="Знак Знак"/>
    <w:qFormat/>
    <w:rPr>
      <w:sz w:val="28"/>
      <w:szCs w:val="28"/>
      <w:lang w:val="ru-RU" w:bidi="ar-SA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character" w:customStyle="1" w:styleId="10">
    <w:name w:val="Заголовок 1 Знак"/>
    <w:qFormat/>
    <w:rPr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ad">
    <w:name w:val="Схема документа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Посещённая гиперссылка"/>
    <w:rPr>
      <w:color w:val="0000FF"/>
      <w:u w:val="single"/>
    </w:rPr>
  </w:style>
  <w:style w:type="character" w:customStyle="1" w:styleId="c5">
    <w:name w:val="c5"/>
    <w:qFormat/>
  </w:style>
  <w:style w:type="character" w:customStyle="1" w:styleId="af">
    <w:name w:val="Без интервала Знак"/>
    <w:qFormat/>
    <w:rPr>
      <w:rFonts w:eastAsia="MS Mincho"/>
      <w:sz w:val="24"/>
      <w:szCs w:val="24"/>
      <w:lang w:eastAsia="ja-JP" w:bidi="ar-SA"/>
    </w:rPr>
  </w:style>
  <w:style w:type="character" w:customStyle="1" w:styleId="spfo1">
    <w:name w:val="spfo1"/>
    <w:qFormat/>
  </w:style>
  <w:style w:type="character" w:customStyle="1" w:styleId="hl">
    <w:name w:val="hl"/>
    <w:qFormat/>
  </w:style>
  <w:style w:type="character" w:customStyle="1" w:styleId="af0">
    <w:name w:val="Абзац списка Знак"/>
    <w:qFormat/>
    <w:rPr>
      <w:sz w:val="24"/>
      <w:szCs w:val="24"/>
    </w:rPr>
  </w:style>
  <w:style w:type="character" w:customStyle="1" w:styleId="s4">
    <w:name w:val="s4"/>
    <w:qFormat/>
  </w:style>
  <w:style w:type="paragraph" w:customStyle="1" w:styleId="af1">
    <w:name w:val="Заголовок"/>
    <w:basedOn w:val="a"/>
    <w:next w:val="af2"/>
    <w:qFormat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ody Text"/>
    <w:basedOn w:val="a"/>
    <w:rPr>
      <w:sz w:val="22"/>
      <w:szCs w:val="20"/>
    </w:rPr>
  </w:style>
  <w:style w:type="paragraph" w:styleId="af3">
    <w:name w:val="List"/>
    <w:basedOn w:val="af2"/>
    <w:pPr>
      <w:suppressAutoHyphens/>
      <w:jc w:val="both"/>
    </w:pPr>
    <w:rPr>
      <w:rFonts w:ascii="Arial" w:hAnsi="Arial" w:cs="Mangal"/>
      <w:sz w:val="28"/>
      <w:lang w:eastAsia="zh-CN"/>
    </w:rPr>
  </w:style>
  <w:style w:type="paragraph" w:styleId="af4">
    <w:name w:val="caption"/>
    <w:basedOn w:val="a"/>
    <w:next w:val="af5"/>
    <w:qFormat/>
    <w:pPr>
      <w:suppressAutoHyphens/>
      <w:jc w:val="center"/>
    </w:pPr>
    <w:rPr>
      <w:sz w:val="28"/>
      <w:lang w:eastAsia="zh-CN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pPr>
      <w:keepNext/>
      <w:suppressAutoHyphens/>
      <w:spacing w:before="120" w:after="120"/>
      <w:jc w:val="center"/>
      <w:outlineLvl w:val="0"/>
    </w:pPr>
    <w:rPr>
      <w:sz w:val="28"/>
      <w:szCs w:val="28"/>
    </w:rPr>
  </w:style>
  <w:style w:type="paragraph" w:customStyle="1" w:styleId="af7">
    <w:name w:val="Верхний и нижний колонтитулы"/>
    <w:basedOn w:val="a"/>
    <w:qFormat/>
    <w:pPr>
      <w:suppressAutoHyphens/>
      <w:contextualSpacing/>
    </w:pPr>
    <w:rPr>
      <w:color w:val="00000A"/>
      <w:sz w:val="28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qFormat/>
    <w:pPr>
      <w:jc w:val="center"/>
    </w:pPr>
    <w:rPr>
      <w:sz w:val="28"/>
      <w:szCs w:val="20"/>
    </w:rPr>
  </w:style>
  <w:style w:type="paragraph" w:customStyle="1" w:styleId="25">
    <w:name w:val="заголовок 2"/>
    <w:basedOn w:val="a"/>
    <w:next w:val="a"/>
    <w:qFormat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qFormat/>
    <w:pPr>
      <w:spacing w:line="228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ind w:firstLine="900"/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f5">
    <w:name w:val="Subtitle"/>
    <w:basedOn w:val="a"/>
    <w:qFormat/>
    <w:pPr>
      <w:jc w:val="center"/>
    </w:pPr>
    <w:rPr>
      <w:b/>
      <w:sz w:val="28"/>
      <w:szCs w:val="20"/>
    </w:rPr>
  </w:style>
  <w:style w:type="paragraph" w:styleId="32">
    <w:name w:val="Body Text 3"/>
    <w:basedOn w:val="a"/>
    <w:qFormat/>
    <w:pPr>
      <w:jc w:val="both"/>
    </w:pPr>
    <w:rPr>
      <w:szCs w:val="20"/>
    </w:rPr>
  </w:style>
  <w:style w:type="paragraph" w:styleId="afb">
    <w:name w:val="Title"/>
    <w:basedOn w:val="a"/>
    <w:qFormat/>
    <w:pPr>
      <w:jc w:val="center"/>
    </w:pPr>
    <w:rPr>
      <w:b/>
      <w:spacing w:val="40"/>
      <w:sz w:val="28"/>
    </w:r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Òåêñò äîêóìåíòà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26">
    <w:name w:val="Указатель2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Arial" w:hAnsi="Arial" w:cs="Arial"/>
      <w:b/>
      <w:sz w:val="24"/>
      <w:lang w:eastAsia="zh-CN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Нормальный (таблица)"/>
    <w:basedOn w:val="a"/>
    <w:next w:val="a"/>
    <w:qFormat/>
    <w:pPr>
      <w:suppressAutoHyphens/>
      <w:jc w:val="both"/>
    </w:pPr>
    <w:rPr>
      <w:rFonts w:ascii="Arial" w:hAnsi="Arial" w:cs="Arial"/>
      <w:lang w:eastAsia="zh-CN"/>
    </w:rPr>
  </w:style>
  <w:style w:type="paragraph" w:customStyle="1" w:styleId="14">
    <w:name w:val="Знак Знак Знак1 Знак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врезки"/>
    <w:basedOn w:val="af2"/>
    <w:qFormat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u">
    <w:name w:val="u"/>
    <w:basedOn w:val="a"/>
    <w:qFormat/>
    <w:pPr>
      <w:ind w:firstLine="256"/>
      <w:jc w:val="both"/>
    </w:pPr>
  </w:style>
  <w:style w:type="paragraph" w:customStyle="1" w:styleId="310">
    <w:name w:val="Основной текст с отступом 31"/>
    <w:basedOn w:val="a"/>
    <w:qFormat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pPr>
      <w:jc w:val="center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pPr>
      <w:jc w:val="both"/>
    </w:pPr>
    <w:rPr>
      <w:szCs w:val="20"/>
      <w:lang w:eastAsia="zh-CN"/>
    </w:rPr>
  </w:style>
  <w:style w:type="paragraph" w:customStyle="1" w:styleId="aff4">
    <w:name w:val="Текст осн"/>
    <w:basedOn w:val="a"/>
    <w:qFormat/>
    <w:pPr>
      <w:widowControl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</w:rPr>
  </w:style>
  <w:style w:type="paragraph" w:styleId="aff5">
    <w:name w:val="Document Map"/>
    <w:basedOn w:val="a"/>
    <w:qFormat/>
    <w:rPr>
      <w:rFonts w:ascii="Tahoma" w:hAnsi="Tahoma"/>
      <w:sz w:val="16"/>
      <w:szCs w:val="16"/>
      <w:lang w:eastAsia="zh-CN"/>
    </w:rPr>
  </w:style>
  <w:style w:type="paragraph" w:customStyle="1" w:styleId="stylet2">
    <w:name w:val="stylet2"/>
    <w:basedOn w:val="a"/>
    <w:qFormat/>
    <w:pPr>
      <w:spacing w:before="280" w:after="280"/>
    </w:pPr>
  </w:style>
  <w:style w:type="paragraph" w:customStyle="1" w:styleId="27">
    <w:name w:val="Знак Знак2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tl">
    <w:name w:val="ctl"/>
    <w:basedOn w:val="a"/>
    <w:qFormat/>
    <w:pPr>
      <w:spacing w:before="280" w:line="360" w:lineRule="auto"/>
      <w:jc w:val="both"/>
    </w:pPr>
    <w:rPr>
      <w:b/>
      <w:bCs/>
      <w:sz w:val="26"/>
      <w:szCs w:val="26"/>
    </w:rPr>
  </w:style>
  <w:style w:type="paragraph" w:customStyle="1" w:styleId="western">
    <w:name w:val="western"/>
    <w:basedOn w:val="a"/>
    <w:qFormat/>
    <w:pPr>
      <w:spacing w:before="280" w:line="360" w:lineRule="auto"/>
      <w:jc w:val="both"/>
    </w:p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Batang"/>
      <w:sz w:val="20"/>
      <w:szCs w:val="20"/>
    </w:rPr>
  </w:style>
  <w:style w:type="paragraph" w:customStyle="1" w:styleId="16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МОЕ"/>
    <w:basedOn w:val="a"/>
    <w:qFormat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51">
    <w:name w:val="Знак Знак5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qFormat/>
    <w:pPr>
      <w:widowControl w:val="0"/>
      <w:suppressAutoHyphens/>
      <w:jc w:val="both"/>
    </w:pPr>
    <w:rPr>
      <w:rFonts w:eastAsia="Lucida Sans Unicode" w:cs="Mangal"/>
      <w:kern w:val="2"/>
      <w:sz w:val="32"/>
      <w:lang w:eastAsia="zh-CN" w:bidi="hi-IN"/>
    </w:rPr>
  </w:style>
  <w:style w:type="paragraph" w:styleId="28">
    <w:name w:val="toc 2"/>
    <w:basedOn w:val="a"/>
    <w:next w:val="a"/>
    <w:autoRedefine/>
    <w:pPr>
      <w:tabs>
        <w:tab w:val="right" w:leader="dot" w:pos="9345"/>
      </w:tabs>
      <w:ind w:left="240"/>
    </w:pPr>
    <w:rPr>
      <w:bCs/>
    </w:rPr>
  </w:style>
  <w:style w:type="paragraph" w:styleId="17">
    <w:name w:val="toc 1"/>
    <w:basedOn w:val="a"/>
    <w:next w:val="a"/>
    <w:autoRedefine/>
  </w:style>
  <w:style w:type="paragraph" w:customStyle="1" w:styleId="aff7">
    <w:name w:val="МОН"/>
    <w:basedOn w:val="a"/>
    <w:qFormat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ff8">
    <w:name w:val="No Spacing"/>
    <w:qFormat/>
    <w:rPr>
      <w:rFonts w:eastAsia="MS Mincho"/>
      <w:sz w:val="24"/>
      <w:szCs w:val="24"/>
      <w:lang w:eastAsia="ja-JP"/>
    </w:rPr>
  </w:style>
  <w:style w:type="paragraph" w:styleId="aff9">
    <w:name w:val="List Paragraph"/>
    <w:basedOn w:val="a"/>
    <w:qFormat/>
    <w:pPr>
      <w:ind w:left="720"/>
      <w:contextualSpacing/>
    </w:pPr>
  </w:style>
  <w:style w:type="paragraph" w:customStyle="1" w:styleId="18">
    <w:name w:val="Без интервала1"/>
    <w:qFormat/>
    <w:rPr>
      <w:rFonts w:ascii="Calibri" w:eastAsia="Calibri" w:hAnsi="Calibri"/>
      <w:kern w:val="2"/>
      <w:sz w:val="24"/>
      <w:szCs w:val="24"/>
      <w:lang w:val="en-US" w:eastAsia="en-US" w:bidi="en-US"/>
    </w:rPr>
  </w:style>
  <w:style w:type="paragraph" w:customStyle="1" w:styleId="221">
    <w:name w:val="Основной текст с отступом 22"/>
    <w:basedOn w:val="a"/>
    <w:qFormat/>
    <w:pPr>
      <w:suppressAutoHyphens/>
      <w:spacing w:after="120" w:line="480" w:lineRule="auto"/>
      <w:ind w:left="283"/>
      <w:contextualSpacing/>
    </w:pPr>
    <w:rPr>
      <w:color w:val="00000A"/>
      <w:sz w:val="28"/>
      <w:szCs w:val="20"/>
    </w:rPr>
  </w:style>
  <w:style w:type="paragraph" w:customStyle="1" w:styleId="120">
    <w:name w:val="Заголовок 12"/>
    <w:basedOn w:val="a"/>
    <w:next w:val="af2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eastAsia="NSimSun" w:hAnsi="Arial" w:cs="Arial"/>
      <w:b/>
      <w:bCs/>
      <w:color w:val="000080"/>
      <w:kern w:val="2"/>
      <w:sz w:val="20"/>
      <w:lang w:eastAsia="zh-CN" w:bidi="hi-IN"/>
    </w:rPr>
  </w:style>
  <w:style w:type="paragraph" w:styleId="affa">
    <w:name w:val="TOC Heading"/>
    <w:basedOn w:val="11"/>
    <w:next w:val="a"/>
    <w:qFormat/>
    <w:pPr>
      <w:spacing w:before="240" w:after="60"/>
    </w:pPr>
    <w:rPr>
      <w:rFonts w:ascii="Cambria" w:hAnsi="Cambria"/>
      <w:bCs/>
      <w:kern w:val="2"/>
      <w:sz w:val="32"/>
      <w:szCs w:val="32"/>
    </w:rPr>
  </w:style>
  <w:style w:type="paragraph" w:styleId="29">
    <w:name w:val="List Bullet 2"/>
    <w:basedOn w:val="a"/>
    <w:autoRedefine/>
    <w:qFormat/>
    <w:pPr>
      <w:widowControl w:val="0"/>
      <w:tabs>
        <w:tab w:val="left" w:pos="0"/>
      </w:tabs>
      <w:suppressAutoHyphens/>
      <w:ind w:right="-2" w:firstLine="709"/>
      <w:contextualSpacing/>
      <w:jc w:val="both"/>
      <w:outlineLvl w:val="1"/>
    </w:pPr>
    <w:rPr>
      <w:iCs/>
      <w:color w:val="000000"/>
      <w:sz w:val="28"/>
      <w:szCs w:val="28"/>
    </w:rPr>
  </w:style>
  <w:style w:type="paragraph" w:customStyle="1" w:styleId="consplusnormal1">
    <w:name w:val="consplusnormal"/>
    <w:basedOn w:val="a"/>
    <w:qFormat/>
    <w:pPr>
      <w:suppressAutoHyphens/>
      <w:spacing w:before="280" w:after="280"/>
    </w:pPr>
  </w:style>
  <w:style w:type="paragraph" w:styleId="19">
    <w:name w:val="index 1"/>
    <w:basedOn w:val="a"/>
    <w:next w:val="a"/>
    <w:autoRedefine/>
    <w:qFormat/>
    <w:pPr>
      <w:ind w:left="240" w:hanging="240"/>
    </w:pPr>
  </w:style>
  <w:style w:type="paragraph" w:customStyle="1" w:styleId="1a">
    <w:name w:val="Обычный (веб)1"/>
    <w:basedOn w:val="a"/>
    <w:qFormat/>
    <w:pPr>
      <w:suppressAutoHyphens/>
      <w:spacing w:before="280" w:after="280"/>
      <w:contextualSpacing/>
    </w:pPr>
    <w:rPr>
      <w:rFonts w:ascii="Verdana" w:hAnsi="Verdana" w:cs="Verdana"/>
      <w:color w:val="333333"/>
      <w:sz w:val="22"/>
      <w:szCs w:val="22"/>
    </w:rPr>
  </w:style>
  <w:style w:type="paragraph" w:customStyle="1" w:styleId="doctext">
    <w:name w:val="doc__text"/>
    <w:basedOn w:val="a"/>
    <w:qFormat/>
    <w:pPr>
      <w:spacing w:before="280" w:after="280"/>
    </w:pPr>
  </w:style>
  <w:style w:type="paragraph" w:customStyle="1" w:styleId="af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w/jResR5iagfxvaqoz4J0PM5SudxqHUazE7ZW+w4Hvg=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9KskH3w2pfTEw3v8TljW6f57NJT25+mL8IUsnCdMDIM=</DigestValue>
    </Reference>
  </SignedInfo>
  <SignatureValue>1V1nBzROJvNvXX5/sXPT0OGntFnwt+oEA0SXNoVx2G7Q99z87bot+Y12OPNcC/9g
wWE0FflP5+ZquRRC74C3DA==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58rRdyIuK3PovxCUtt12eYP05cW9q19Riu+7/0EuSYU=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LltVnecYPNx8vUddubXBehQbae0V7R6MCQD1DNLFQPI=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XzYIbODuF49dDIJdjjJVPhC8ATSei4oe0fNv3fL3/cI=</DigestValue>
      </Reference>
      <Reference URI="/word/styles.xml?ContentType=application/vnd.openxmlformats-officedocument.wordprocessingml.styles+xml">
        <DigestMethod Algorithm="http://www.w3.org/2001/04/xmldsig-more#gostr34112012-256"/>
        <DigestValue>puA+71X7vwQWGPpSdtYI7JmkE7U9m9W0WFpD3XaS2Wo=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3+OPzzpuEjpSBaLpg00N4yAjKdRry28B0sBp2JyqEfg=</DigestValue>
      </Reference>
    </Manifest>
    <SignatureProperties>
      <SignatureProperty Id="idSignatureTime" Target="#idPackageSignature">
        <mdssi:SignatureTime>
          <mdssi:Format>YYYY-MM-DDThh:mm:ssTZD</mdssi:Format>
          <mdssi:Value>2024-02-16T05:57:41Z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2024-02-16T05:57:41Z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11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MaksimovaOS</dc:creator>
  <dc:description/>
  <cp:lastModifiedBy>User</cp:lastModifiedBy>
  <cp:revision>125</cp:revision>
  <cp:lastPrinted>2024-02-08T11:45:00Z</cp:lastPrinted>
  <dcterms:created xsi:type="dcterms:W3CDTF">2022-07-27T06:29:00Z</dcterms:created>
  <dcterms:modified xsi:type="dcterms:W3CDTF">2024-02-08T11:57:00Z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делами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