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9643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AE19E" wp14:editId="7A1E2B82">
            <wp:extent cx="758825" cy="914400"/>
            <wp:effectExtent l="0" t="0" r="3175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3FD4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66C8AFF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1D1D3E18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5E3CFF3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0FAD5DB8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8E60A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08F1176A" w14:textId="77777777" w:rsidR="008E60A6" w:rsidRPr="008E60A6" w:rsidRDefault="008E60A6" w:rsidP="001B40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1C007F" w14:textId="35388FE9" w:rsidR="008E60A6" w:rsidRPr="008E60A6" w:rsidRDefault="009D5DAB" w:rsidP="001B40A7">
      <w:pPr>
        <w:rPr>
          <w:rFonts w:ascii="Times New Roman" w:eastAsia="Calibri" w:hAnsi="Times New Roman" w:cs="Times New Roman"/>
          <w:b/>
          <w:sz w:val="28"/>
        </w:rPr>
      </w:pPr>
      <w:r w:rsidRPr="00A85028">
        <w:rPr>
          <w:rFonts w:ascii="Times New Roman" w:eastAsia="Calibri" w:hAnsi="Times New Roman" w:cs="Times New Roman"/>
          <w:sz w:val="28"/>
        </w:rPr>
        <w:t>От</w:t>
      </w:r>
      <w:r w:rsidR="005A6E03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76354F">
        <w:rPr>
          <w:rFonts w:ascii="Times New Roman" w:eastAsia="Calibri" w:hAnsi="Times New Roman" w:cs="Times New Roman"/>
          <w:sz w:val="28"/>
        </w:rPr>
        <w:t>09.01.</w:t>
      </w:r>
      <w:r w:rsidR="00A85028" w:rsidRPr="00A85028">
        <w:rPr>
          <w:rFonts w:ascii="Times New Roman" w:eastAsia="Calibri" w:hAnsi="Times New Roman" w:cs="Times New Roman"/>
          <w:sz w:val="28"/>
        </w:rPr>
        <w:t>202</w:t>
      </w:r>
      <w:r w:rsidR="006E7A33">
        <w:rPr>
          <w:rFonts w:ascii="Times New Roman" w:eastAsia="Calibri" w:hAnsi="Times New Roman" w:cs="Times New Roman"/>
          <w:sz w:val="28"/>
        </w:rPr>
        <w:t>4</w:t>
      </w:r>
      <w:r w:rsidR="00A85028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CA56AB" w:rsidRPr="00A85028">
        <w:rPr>
          <w:rFonts w:ascii="Times New Roman" w:eastAsia="Calibri" w:hAnsi="Times New Roman" w:cs="Times New Roman"/>
          <w:sz w:val="28"/>
        </w:rPr>
        <w:t>г.</w:t>
      </w:r>
      <w:r w:rsidRPr="00A85028">
        <w:rPr>
          <w:rFonts w:ascii="Times New Roman" w:eastAsia="Calibri" w:hAnsi="Times New Roman" w:cs="Times New Roman"/>
          <w:sz w:val="28"/>
        </w:rPr>
        <w:tab/>
        <w:t xml:space="preserve">  № </w:t>
      </w:r>
      <w:r w:rsidR="0076354F">
        <w:rPr>
          <w:rFonts w:ascii="Times New Roman" w:eastAsia="Calibri" w:hAnsi="Times New Roman" w:cs="Times New Roman"/>
          <w:sz w:val="28"/>
        </w:rPr>
        <w:t>2</w:t>
      </w:r>
    </w:p>
    <w:p w14:paraId="614BCA72" w14:textId="77777777" w:rsidR="008E60A6" w:rsidRPr="008E60A6" w:rsidRDefault="008E60A6" w:rsidP="001B40A7">
      <w:pPr>
        <w:spacing w:after="0" w:line="240" w:lineRule="auto"/>
        <w:ind w:right="2975"/>
        <w:rPr>
          <w:rFonts w:ascii="Times New Roman" w:eastAsia="Calibri" w:hAnsi="Times New Roman" w:cs="Times New Roman"/>
          <w:b/>
          <w:sz w:val="28"/>
          <w:szCs w:val="24"/>
        </w:rPr>
      </w:pPr>
      <w:r w:rsidRPr="008E60A6"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33A26E1A" w14:textId="7EF87793" w:rsidR="008E60A6" w:rsidRPr="008E60A6" w:rsidRDefault="008E60A6" w:rsidP="001B40A7">
      <w:pPr>
        <w:spacing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Турковского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AD1E42">
        <w:rPr>
          <w:rFonts w:ascii="Times New Roman" w:eastAsia="Times New Roman" w:hAnsi="Times New Roman" w:cs="Times New Roman"/>
          <w:b/>
          <w:sz w:val="28"/>
          <w:szCs w:val="28"/>
        </w:rPr>
        <w:t>района» на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D4C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D4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966AA7E" w14:textId="77777777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Турковского муниципального района администрация Турковского муниципального </w:t>
      </w:r>
      <w:r w:rsidR="001B40A7" w:rsidRPr="008E60A6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Pr="008E60A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795D0" w14:textId="5652A28E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>1.</w:t>
      </w:r>
      <w:r w:rsidR="00870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Турковског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о муницип</w:t>
      </w:r>
      <w:r w:rsidR="009203F6">
        <w:rPr>
          <w:rFonts w:ascii="Times New Roman" w:eastAsia="Times New Roman" w:hAnsi="Times New Roman" w:cs="Times New Roman"/>
          <w:sz w:val="28"/>
          <w:szCs w:val="28"/>
        </w:rPr>
        <w:t>ального района» на 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0A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6F1370A4" w14:textId="74F76329" w:rsidR="008E60A6" w:rsidRPr="008E60A6" w:rsidRDefault="0078255A" w:rsidP="009E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7D53CD0" w14:textId="77777777" w:rsidR="008E60A6" w:rsidRPr="008E60A6" w:rsidRDefault="008E60A6" w:rsidP="001B40A7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14:paraId="2A8ACD82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11F77F6F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5EE08011" w14:textId="77777777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60A6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14:paraId="659DF599" w14:textId="779DD566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60A6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409A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E60A6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14:paraId="77E3DE39" w14:textId="77777777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82296" w14:textId="77777777" w:rsidR="00870C15" w:rsidRDefault="00870C15" w:rsidP="008E60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70C15" w:rsidSect="000C1E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124D7272" w14:textId="28FA8D5B" w:rsidR="007537D3" w:rsidRDefault="007537D3" w:rsidP="001B40A7">
      <w:pPr>
        <w:pStyle w:val="a6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B40A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0A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DAB"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AE4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CB5">
        <w:rPr>
          <w:rFonts w:ascii="Times New Roman" w:eastAsia="Times New Roman" w:hAnsi="Times New Roman" w:cs="Times New Roman"/>
          <w:sz w:val="28"/>
          <w:szCs w:val="28"/>
        </w:rPr>
        <w:t>09.01.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C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A6E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4CB5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DAA5982" w14:textId="77777777" w:rsidR="00AE41F8" w:rsidRPr="001B40A7" w:rsidRDefault="00AE41F8" w:rsidP="001B40A7">
      <w:pPr>
        <w:pStyle w:val="a6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C3357" w14:textId="77777777" w:rsidR="001B40A7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1B4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BA65B9" w14:textId="25588BF5" w:rsidR="00031A03" w:rsidRPr="00031A03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7559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559F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84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572EA5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7D8728F4" w14:textId="77777777" w:rsidR="00544306" w:rsidRDefault="00544306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D513B" w14:textId="2A3728D0" w:rsidR="00031A03" w:rsidRPr="00031A03" w:rsidRDefault="001336A4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70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122"/>
        <w:gridCol w:w="1546"/>
        <w:gridCol w:w="2085"/>
        <w:gridCol w:w="1955"/>
      </w:tblGrid>
      <w:tr w:rsidR="00031A03" w:rsidRPr="001B40A7" w14:paraId="574A7D69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B58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2ED" w14:textId="021472F1" w:rsidR="00031A03" w:rsidRPr="001B40A7" w:rsidRDefault="00031A03" w:rsidP="007559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Турковског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о муниципального района» на 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031A03" w:rsidRPr="001B40A7" w14:paraId="3C9ECB8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1A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9B0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4CB50F2D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90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67B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65C1CB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05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34D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2E9E43D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6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46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>является поддержка и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      </w:r>
          </w:p>
          <w:p w14:paraId="55D5AB0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pacing w:val="2"/>
                <w:sz w:val="28"/>
                <w:szCs w:val="28"/>
              </w:rPr>
              <w:t>Достижение цели возможно посредством решения следующих задач:</w:t>
            </w:r>
          </w:p>
          <w:p w14:paraId="010E498A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развитие механизмов финансовой, имущественной, информационной, консультационной поддержки НКО;</w:t>
            </w:r>
          </w:p>
          <w:p w14:paraId="1C27F67F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постоянно действующей системы взаимодействия органов местного самоуправления и населения;</w:t>
            </w:r>
          </w:p>
          <w:p w14:paraId="442824EE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      </w:r>
          </w:p>
          <w:p w14:paraId="531D85AE" w14:textId="77777777" w:rsidR="00031A03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поощрение и стимулирование благотворительной деятельности и добровольческого движения в муниципальном районе.</w:t>
            </w:r>
          </w:p>
        </w:tc>
      </w:tr>
      <w:tr w:rsidR="00031A03" w:rsidRPr="001B40A7" w14:paraId="1E69B978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A071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7A9" w14:textId="6133C3AD" w:rsidR="00031A03" w:rsidRPr="001B40A7" w:rsidRDefault="00225E41" w:rsidP="007559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  <w:r w:rsidR="00F84D75"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462433" w:rsidRPr="001B40A7" w14:paraId="5A0AE3C4" w14:textId="77777777" w:rsidTr="00462433">
        <w:trPr>
          <w:trHeight w:val="36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8D0AD" w14:textId="37ED87B9" w:rsidR="00462433" w:rsidRPr="001B40A7" w:rsidRDefault="0046243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016" w14:textId="78535ED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расходы (тыс. руб.)</w:t>
            </w:r>
          </w:p>
        </w:tc>
      </w:tr>
      <w:tr w:rsidR="00462433" w:rsidRPr="001B40A7" w14:paraId="51713062" w14:textId="119ECB59" w:rsidTr="00462433">
        <w:trPr>
          <w:trHeight w:val="105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148" w14:textId="77777777" w:rsidR="00462433" w:rsidRPr="003338BA" w:rsidRDefault="00462433" w:rsidP="00462433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EDB" w14:textId="35D5124D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63A" w14:textId="47893E52" w:rsidR="00462433" w:rsidRPr="001B40A7" w:rsidRDefault="00462433" w:rsidP="00F242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42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B8B" w14:textId="707E7A72" w:rsidR="00462433" w:rsidRPr="001B40A7" w:rsidRDefault="005A6E03" w:rsidP="00F242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42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4D7" w14:textId="265EE0D6" w:rsidR="00462433" w:rsidRPr="001B40A7" w:rsidRDefault="00462433" w:rsidP="00F242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42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62433" w:rsidRPr="001B40A7" w14:paraId="22C55DB0" w14:textId="04A306C1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68D" w14:textId="474F4E35" w:rsidR="00462433" w:rsidRPr="001B40A7" w:rsidRDefault="00462433" w:rsidP="004624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 xml:space="preserve">Бюджет Турковского </w:t>
            </w: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F18" w14:textId="67A5A572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588" w14:textId="0062FE09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412" w14:textId="75F0A024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C03" w14:textId="2B3C7D3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31A03" w:rsidRPr="001B40A7" w14:paraId="45CB86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BF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8D7945" w:rsidRPr="001B40A7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F806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у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населения района исторической памяти;</w:t>
            </w:r>
          </w:p>
          <w:p w14:paraId="3F5CC37D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преемственности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поколений;</w:t>
            </w:r>
          </w:p>
          <w:p w14:paraId="64C46CE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отношение к людям старшего поколения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9383C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патриотическое воспитание молодёжи, формирование у молодых людей социальной ответственности;</w:t>
            </w:r>
          </w:p>
          <w:p w14:paraId="5C3284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условий для предоставления ветеранам консультативных, культурно-досуговых услуг;</w:t>
            </w:r>
          </w:p>
          <w:p w14:paraId="19042AAE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улучшение работы социально ориентированных некоммерческих организаций, осуществляющих свою деятельность на территории Турковского муниципального района по социальной поддержке ветеранов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E6014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      </w:r>
          </w:p>
        </w:tc>
      </w:tr>
      <w:tr w:rsidR="00031A03" w:rsidRPr="001B40A7" w14:paraId="466CECDB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BE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2F7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</w:tbl>
    <w:p w14:paraId="46FF60D3" w14:textId="77777777" w:rsidR="003338BA" w:rsidRPr="003338BA" w:rsidRDefault="003338BA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C29225" w14:textId="3C672B28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A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14:paraId="656D5474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14:paraId="2E4DDD21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социально ориентированных некоммерческих организаций на территории Турковского муниципального района.</w:t>
      </w:r>
    </w:p>
    <w:p w14:paraId="7C28FF8B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законом от 6 октября 2003 года №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отнесены к вопросам местного значения.</w:t>
      </w:r>
    </w:p>
    <w:p w14:paraId="4BE07F6A" w14:textId="77777777" w:rsidR="00031A03" w:rsidRPr="00031A03" w:rsidRDefault="001336A4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>а территории Турковского му</w:t>
      </w:r>
      <w:r w:rsidR="002E043E">
        <w:rPr>
          <w:rFonts w:ascii="Times New Roman" w:eastAsia="Times New Roman" w:hAnsi="Times New Roman" w:cs="Times New Roman"/>
          <w:sz w:val="28"/>
          <w:szCs w:val="28"/>
        </w:rPr>
        <w:t>ниципального района действуют 10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которые ведут работу с различными категориями граждан.</w:t>
      </w:r>
    </w:p>
    <w:p w14:paraId="7E84F286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При наличии значительного количества общественных объединений, остается вопрос качества работы НКО. На сегодняшний день их деятельность затрагивает крайне узкий круг вопросов социального характера и потенциал гражданских инициатив нельзя назвать реализованным. </w:t>
      </w:r>
    </w:p>
    <w:p w14:paraId="4D5909E5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Слабыми сторонами развития некоммерческого сектора в муниципальном районе являются: </w:t>
      </w:r>
    </w:p>
    <w:p w14:paraId="6BDD82E9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гражданская активность населения;</w:t>
      </w:r>
    </w:p>
    <w:p w14:paraId="2BF413FD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развития отдельных видов общественной активности населения;</w:t>
      </w:r>
    </w:p>
    <w:p w14:paraId="4DAFA7C0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отсутствие системы эффективного взаимодействия органов местного </w:t>
      </w:r>
      <w:r w:rsidR="006C291A"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и</w:t>
      </w: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населения;</w:t>
      </w:r>
    </w:p>
    <w:p w14:paraId="66C35E98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профессиональных и специальных знаний в области делопроизводства у руководителей 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</w:t>
      </w:r>
    </w:p>
    <w:p w14:paraId="7010D1FF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ограниченные ресурсы НКО – человеческие, финансовые, технические; </w:t>
      </w:r>
    </w:p>
    <w:p w14:paraId="5055093D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района.</w:t>
      </w:r>
    </w:p>
    <w:p w14:paraId="69504EB0" w14:textId="77777777" w:rsidR="00031A03" w:rsidRPr="00031A03" w:rsidRDefault="00031A03" w:rsidP="0003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финансовую, имущественную, информационную и консультативную поддержку инициатив</w:t>
      </w:r>
      <w:r w:rsidR="0090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 организациям. Исходя из  вышеперечисленного, одной их задач органов местного самоуправления должно стать создание условий для развития социально ориентированных некоммерческих организаций. Поэтому целесообразно решать данную проблему программно-целевым методом.</w:t>
      </w:r>
    </w:p>
    <w:p w14:paraId="48E7947F" w14:textId="77777777" w:rsidR="00031A03" w:rsidRPr="00031A03" w:rsidRDefault="00031A03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738AED0" w14:textId="77777777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Цели и задачи Программы</w:t>
      </w:r>
    </w:p>
    <w:p w14:paraId="54976A3B" w14:textId="2D133792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</w:r>
    </w:p>
    <w:p w14:paraId="4FD33F43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pacing w:val="2"/>
          <w:sz w:val="28"/>
          <w:szCs w:val="28"/>
        </w:rPr>
        <w:t>Достижение цели возможно посредством решения следующих задач:</w:t>
      </w:r>
    </w:p>
    <w:p w14:paraId="762EC168" w14:textId="77777777" w:rsidR="00031A03" w:rsidRP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развитие механизмов финансовой, имущественной, информационной, консультационной поддержки НКО;</w:t>
      </w:r>
    </w:p>
    <w:p w14:paraId="7ABEAB56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постоянно действующей системы взаимодействия органов местного самоуправления и населения;</w:t>
      </w:r>
    </w:p>
    <w:p w14:paraId="7FC00C7B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</w:r>
    </w:p>
    <w:p w14:paraId="05ABCFD6" w14:textId="77777777" w:rsid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благотворительной деятельности и добровольческого движения в муниципальном районе.</w:t>
      </w:r>
    </w:p>
    <w:p w14:paraId="2B50EFAD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79CC2" w14:textId="77777777" w:rsidR="00C41BF8" w:rsidRPr="00C41BF8" w:rsidRDefault="008D7945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4.Сроки реализации П</w:t>
      </w:r>
      <w:r w:rsidR="00C41BF8" w:rsidRPr="00C41BF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14:paraId="4E15A14E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A1D94" w14:textId="007C2AE2" w:rsidR="00C41BF8" w:rsidRP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F8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AD945B" w14:textId="77777777" w:rsidR="00C41BF8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E211584" w14:textId="77777777" w:rsidR="00C41BF8" w:rsidRPr="00F55F1C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55F1C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643341B" w14:textId="77777777" w:rsidR="00C41BF8" w:rsidRPr="00F55F1C" w:rsidRDefault="00C41BF8" w:rsidP="006C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F1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Турковского муниципального </w:t>
      </w:r>
      <w:r w:rsidR="00127B4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32DC45" w14:textId="77777777" w:rsidR="00C41BF8" w:rsidRDefault="00C41BF8" w:rsidP="006C2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F1C"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79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F55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B6405" w14:textId="443E4707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7559F6">
        <w:rPr>
          <w:rFonts w:ascii="Times New Roman" w:hAnsi="Times New Roman" w:cs="Times New Roman"/>
          <w:sz w:val="28"/>
          <w:szCs w:val="28"/>
        </w:rPr>
        <w:t>4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B28D3BC" w14:textId="09AAD69C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7559F6">
        <w:rPr>
          <w:rFonts w:ascii="Times New Roman" w:hAnsi="Times New Roman" w:cs="Times New Roman"/>
          <w:sz w:val="28"/>
          <w:szCs w:val="28"/>
        </w:rPr>
        <w:t>5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59E96A" w14:textId="352B979F" w:rsidR="00E9713F" w:rsidRDefault="00AE41F8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559F6">
        <w:rPr>
          <w:rFonts w:ascii="Times New Roman" w:hAnsi="Times New Roman" w:cs="Times New Roman"/>
          <w:sz w:val="28"/>
          <w:szCs w:val="28"/>
        </w:rPr>
        <w:t>6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13F">
        <w:rPr>
          <w:rFonts w:ascii="Times New Roman" w:hAnsi="Times New Roman" w:cs="Times New Roman"/>
          <w:sz w:val="28"/>
          <w:szCs w:val="28"/>
        </w:rPr>
        <w:t>–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</w:t>
      </w:r>
      <w:r w:rsidR="00E9713F">
        <w:rPr>
          <w:rFonts w:ascii="Times New Roman" w:hAnsi="Times New Roman" w:cs="Times New Roman"/>
          <w:sz w:val="28"/>
          <w:szCs w:val="28"/>
        </w:rPr>
        <w:t>30,0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713F">
        <w:rPr>
          <w:rFonts w:ascii="Times New Roman" w:hAnsi="Times New Roman" w:cs="Times New Roman"/>
          <w:sz w:val="28"/>
          <w:szCs w:val="28"/>
        </w:rPr>
        <w:t>.</w:t>
      </w:r>
    </w:p>
    <w:p w14:paraId="0C924123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9824D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8B2B7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9A7F9" w14:textId="77777777" w:rsidR="00377897" w:rsidRPr="00377897" w:rsidRDefault="00377897" w:rsidP="006C2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Объемы ассигнований из бюджета Турковского муниципального </w:t>
      </w:r>
      <w:r w:rsidR="00635ED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уточнены, исходя из возможностей бюджета Турковского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623DEB2C" w14:textId="77777777" w:rsidR="00C41BF8" w:rsidRDefault="00C41BF8" w:rsidP="00C4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084" w14:textId="77777777" w:rsidR="00031A03" w:rsidRPr="00031A03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Критерии эффективности реализации Программы</w:t>
      </w:r>
    </w:p>
    <w:p w14:paraId="06DEE9A0" w14:textId="77777777" w:rsidR="00C41BF8" w:rsidRDefault="00C41BF8" w:rsidP="00031A03">
      <w:pPr>
        <w:tabs>
          <w:tab w:val="left" w:pos="292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5415E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14:paraId="34998D5D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ожидается:</w:t>
      </w:r>
    </w:p>
    <w:p w14:paraId="01D0F6F1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числа НКО, имеющих статус юридического лица,</w:t>
      </w:r>
    </w:p>
    <w:p w14:paraId="489E19F9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проведенных в Турковском муниципальном районе общественных акций и мероприятий, </w:t>
      </w:r>
    </w:p>
    <w:p w14:paraId="7457358E" w14:textId="77777777" w:rsidR="00031A03" w:rsidRPr="003C5F53" w:rsidRDefault="00031A03" w:rsidP="006C291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объема благотворительной деятельности по Турковскому муниципальному району.</w:t>
      </w:r>
    </w:p>
    <w:p w14:paraId="50AE8019" w14:textId="77777777" w:rsidR="006C291A" w:rsidRDefault="006C291A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50E21" w14:textId="77777777" w:rsidR="002E043E" w:rsidRDefault="00C41BF8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E043E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</w:t>
      </w:r>
      <w:r w:rsidR="00F55F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E043E" w:rsidRPr="002E04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28D3F6" w14:textId="3A2E6869" w:rsidR="00FF4F25" w:rsidRPr="00FF4F25" w:rsidRDefault="00FF4F25" w:rsidP="006C29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F25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2ABFA08" w14:textId="6B4B8B38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1.</w:t>
      </w:r>
      <w:r w:rsidR="006C291A" w:rsidRPr="006C291A">
        <w:rPr>
          <w:rFonts w:ascii="Times New Roman" w:hAnsi="Times New Roman" w:cs="Times New Roman"/>
          <w:sz w:val="28"/>
          <w:szCs w:val="28"/>
        </w:rPr>
        <w:t xml:space="preserve"> Сохранение у</w:t>
      </w:r>
      <w:r w:rsidRPr="006C291A">
        <w:rPr>
          <w:rFonts w:ascii="Times New Roman" w:hAnsi="Times New Roman" w:cs="Times New Roman"/>
          <w:sz w:val="28"/>
          <w:szCs w:val="28"/>
        </w:rPr>
        <w:t xml:space="preserve"> населения района исторической памяти;</w:t>
      </w:r>
    </w:p>
    <w:p w14:paraId="6AA3C9EA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2.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6C291A" w:rsidRPr="006C291A">
        <w:rPr>
          <w:rFonts w:ascii="Times New Roman" w:hAnsi="Times New Roman" w:cs="Times New Roman"/>
          <w:sz w:val="28"/>
          <w:szCs w:val="28"/>
        </w:rPr>
        <w:t>Сохранение преемственности</w:t>
      </w:r>
      <w:r w:rsidRPr="006C291A">
        <w:rPr>
          <w:rFonts w:ascii="Times New Roman" w:hAnsi="Times New Roman" w:cs="Times New Roman"/>
          <w:sz w:val="28"/>
          <w:szCs w:val="28"/>
        </w:rPr>
        <w:t xml:space="preserve"> поколений;</w:t>
      </w:r>
    </w:p>
    <w:p w14:paraId="2885FB03" w14:textId="3960BB72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3.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Воспитание уважительного отношение к людям старшего поколения</w:t>
      </w:r>
      <w:r w:rsidR="00FF4F25">
        <w:rPr>
          <w:rFonts w:ascii="Times New Roman" w:hAnsi="Times New Roman" w:cs="Times New Roman"/>
          <w:sz w:val="28"/>
          <w:szCs w:val="28"/>
        </w:rPr>
        <w:t>;</w:t>
      </w:r>
    </w:p>
    <w:p w14:paraId="36FB763C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4.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Патриотическое воспитание молодёжи, формирование у молодых людей социальной ответственности;</w:t>
      </w:r>
    </w:p>
    <w:p w14:paraId="67F3B4F6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5.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Создание условий для предоставления ветеранам консультативных, культурно-досуговых услуг;</w:t>
      </w:r>
    </w:p>
    <w:p w14:paraId="0B72210E" w14:textId="77777777" w:rsidR="00F55F1C" w:rsidRDefault="00900B73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6</w:t>
      </w:r>
      <w:r w:rsidR="00F55F1C" w:rsidRPr="006C291A">
        <w:rPr>
          <w:rFonts w:ascii="Times New Roman" w:hAnsi="Times New Roman" w:cs="Times New Roman"/>
          <w:sz w:val="28"/>
          <w:szCs w:val="28"/>
        </w:rPr>
        <w:t>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F55F1C" w:rsidRPr="006C291A">
        <w:rPr>
          <w:rFonts w:ascii="Times New Roman" w:hAnsi="Times New Roman" w:cs="Times New Roman"/>
          <w:sz w:val="28"/>
          <w:szCs w:val="28"/>
        </w:rPr>
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</w:r>
    </w:p>
    <w:p w14:paraId="346AC7D7" w14:textId="77777777" w:rsidR="00C35F5F" w:rsidRPr="006C291A" w:rsidRDefault="00C35F5F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14DF5" w14:textId="77777777" w:rsidR="00F55F1C" w:rsidRPr="00C41BF8" w:rsidRDefault="00C41BF8" w:rsidP="00C41BF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8">
        <w:rPr>
          <w:rFonts w:ascii="Times New Roman" w:hAnsi="Times New Roman" w:cs="Times New Roman"/>
          <w:b/>
          <w:sz w:val="28"/>
          <w:szCs w:val="28"/>
        </w:rPr>
        <w:t>8</w:t>
      </w:r>
      <w:r w:rsidR="00F55F1C" w:rsidRPr="00C41BF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14:paraId="1E989B74" w14:textId="77777777" w:rsidR="00C41BF8" w:rsidRDefault="00C41BF8" w:rsidP="00F55F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076E6" w14:textId="77777777" w:rsidR="00F55F1C" w:rsidRPr="00C35F5F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Программы осуществляет администрация Турковского муниципального района. </w:t>
      </w:r>
    </w:p>
    <w:p w14:paraId="442E3384" w14:textId="77777777" w:rsidR="00F55F1C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Ход реализации Программы контролируется по предоставляемым некоммерческой организацией </w:t>
      </w:r>
      <w:r w:rsidR="00C35F5F" w:rsidRPr="00C35F5F">
        <w:rPr>
          <w:rFonts w:ascii="Times New Roman" w:eastAsia="Times New Roman" w:hAnsi="Times New Roman" w:cs="Times New Roman"/>
          <w:sz w:val="28"/>
          <w:szCs w:val="28"/>
        </w:rPr>
        <w:t>ежеквартальным отчетам</w:t>
      </w:r>
      <w:r w:rsidRPr="00C35F5F">
        <w:rPr>
          <w:rFonts w:ascii="Times New Roman" w:eastAsia="Times New Roman" w:hAnsi="Times New Roman" w:cs="Times New Roman"/>
          <w:sz w:val="28"/>
          <w:szCs w:val="28"/>
        </w:rPr>
        <w:t>. Сведения об исполнении Программы направляются в администрацию Турковского муниципального района.</w:t>
      </w:r>
    </w:p>
    <w:p w14:paraId="3B7B2040" w14:textId="77777777" w:rsidR="00F55F1C" w:rsidRPr="002E043E" w:rsidRDefault="00F55F1C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55F1C" w:rsidRPr="002E043E" w:rsidSect="008409A4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14:paraId="7D911428" w14:textId="488DDB1A" w:rsidR="00E12C03" w:rsidRPr="00031A03" w:rsidRDefault="00C35F5F" w:rsidP="00E12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Перечень программных мероприятий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DD4C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D4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413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4109"/>
        <w:gridCol w:w="2125"/>
        <w:gridCol w:w="2832"/>
        <w:gridCol w:w="856"/>
        <w:gridCol w:w="853"/>
        <w:gridCol w:w="853"/>
        <w:gridCol w:w="3259"/>
      </w:tblGrid>
      <w:tr w:rsidR="00572EA5" w:rsidRPr="00AE41F8" w14:paraId="5A2BB2D9" w14:textId="77777777" w:rsidTr="001226D2">
        <w:trPr>
          <w:trHeight w:val="91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E886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8D413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6B7E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4B2AA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0132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14:paraId="7385A20B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65" w14:textId="50B22921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75A2" w14:textId="42E9D175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 w:rsidR="00BF3626" w:rsidRPr="00AE4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35F5F" w:rsidRPr="00AE41F8" w14:paraId="2DF31CC1" w14:textId="77777777" w:rsidTr="001226D2">
        <w:trPr>
          <w:trHeight w:val="8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175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E6D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6A7E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2EB3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67B70" w14:textId="3B6C74E8" w:rsidR="00C35F5F" w:rsidRPr="00AE41F8" w:rsidRDefault="00C35F5F" w:rsidP="007559F6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A85E8" w14:textId="510A830A" w:rsidR="00C35F5F" w:rsidRPr="00AE41F8" w:rsidRDefault="00C35F5F" w:rsidP="007559F6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FBF78" w14:textId="31AB61D2" w:rsidR="00C35F5F" w:rsidRPr="00AE41F8" w:rsidRDefault="00C35F5F" w:rsidP="007559F6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911C2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5F" w:rsidRPr="00AE41F8" w14:paraId="035523F1" w14:textId="77777777" w:rsidTr="001226D2"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3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15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03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00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0DA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78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08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B8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A5" w:rsidRPr="00AE41F8" w14:paraId="755135B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7F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AAB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  <w:r w:rsidR="00CC048C" w:rsidRPr="00AE41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8F39" w14:textId="7EE7D87A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B725B71" w14:textId="10BFE5A7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DAFEF19" w14:textId="4223F953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D2AE0CF" w14:textId="77777777" w:rsidR="00572EA5" w:rsidRPr="00AE41F8" w:rsidRDefault="00572EA5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2843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B9F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EF6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928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0BB0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356EBD57" w14:textId="77777777" w:rsidTr="001226D2">
        <w:trPr>
          <w:trHeight w:val="17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6214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716A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патриотическое воспитание, освещение в СМИ (круглые столы, встречи, проведение праздничных мероприятий, памятных дат, конкурсов.)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BFB31" w14:textId="78D301DD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1106630" w14:textId="3767000A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29454B8" w14:textId="17EC50DA" w:rsidR="009203F6" w:rsidRPr="00AE41F8" w:rsidRDefault="001226D2" w:rsidP="0075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82CF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A5406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3A48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964D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0E00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53BF10E9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BC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9FC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 xml:space="preserve">Оказание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органов местного самоуправления Турковского муниципального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EF6306" w14:textId="287813E8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5B6BA82" w14:textId="216B5E20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417988" w14:textId="2CF5C83F" w:rsidR="009203F6" w:rsidRPr="00AE41F8" w:rsidRDefault="001226D2" w:rsidP="0075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0065E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1D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0C1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FE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21E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48A29AA3" w14:textId="77777777" w:rsidTr="001226D2">
        <w:trPr>
          <w:trHeight w:val="1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455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AFA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Оказание консультативной поддержки социально ориентированным некоммерческим организациям.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BE0" w14:textId="708CD8CD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E824606" w14:textId="75A619C9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F03F5FD" w14:textId="07801D26" w:rsidR="009203F6" w:rsidRPr="00AE41F8" w:rsidRDefault="001226D2" w:rsidP="0075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80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5B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ACF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C46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3A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1068E51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5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9C5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048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B6B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9BA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6F3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CD2" w:rsidRPr="00AE41F8" w14:paraId="6226C39E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9DA" w14:textId="77777777" w:rsidR="004C2CD2" w:rsidRPr="00AE41F8" w:rsidRDefault="004C2CD2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2C3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97C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</w:tbl>
    <w:p w14:paraId="042B81FB" w14:textId="77777777" w:rsidR="00031A03" w:rsidRPr="00031A03" w:rsidRDefault="00031A03" w:rsidP="00031A03">
      <w:pPr>
        <w:tabs>
          <w:tab w:val="left" w:pos="333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63E26" w14:textId="77777777" w:rsidR="00616ADE" w:rsidRDefault="00616ADE"/>
    <w:sectPr w:rsidR="00616ADE" w:rsidSect="00741A3B">
      <w:pgSz w:w="16838" w:h="11906" w:orient="landscape"/>
      <w:pgMar w:top="851" w:right="1134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B01A9"/>
    <w:multiLevelType w:val="hybridMultilevel"/>
    <w:tmpl w:val="BEC2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58F8"/>
    <w:multiLevelType w:val="hybridMultilevel"/>
    <w:tmpl w:val="937C93AC"/>
    <w:lvl w:ilvl="0" w:tplc="26362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A5A"/>
    <w:multiLevelType w:val="hybridMultilevel"/>
    <w:tmpl w:val="AF0A9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D456FC"/>
    <w:multiLevelType w:val="hybridMultilevel"/>
    <w:tmpl w:val="8222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5"/>
    <w:rsid w:val="00022DFC"/>
    <w:rsid w:val="00031A03"/>
    <w:rsid w:val="00037C45"/>
    <w:rsid w:val="0008080F"/>
    <w:rsid w:val="000C1ED5"/>
    <w:rsid w:val="001006A2"/>
    <w:rsid w:val="001226D2"/>
    <w:rsid w:val="00127B4E"/>
    <w:rsid w:val="001336A4"/>
    <w:rsid w:val="001A0D11"/>
    <w:rsid w:val="001B40A7"/>
    <w:rsid w:val="001F2850"/>
    <w:rsid w:val="00210B38"/>
    <w:rsid w:val="00225E41"/>
    <w:rsid w:val="002E043E"/>
    <w:rsid w:val="0031088B"/>
    <w:rsid w:val="003338BA"/>
    <w:rsid w:val="00350DEA"/>
    <w:rsid w:val="00377897"/>
    <w:rsid w:val="003B2B2E"/>
    <w:rsid w:val="003C5F53"/>
    <w:rsid w:val="003C6089"/>
    <w:rsid w:val="00432848"/>
    <w:rsid w:val="0043761E"/>
    <w:rsid w:val="00445AD7"/>
    <w:rsid w:val="00462433"/>
    <w:rsid w:val="004765A7"/>
    <w:rsid w:val="0049204B"/>
    <w:rsid w:val="004C2CD2"/>
    <w:rsid w:val="00541396"/>
    <w:rsid w:val="00544306"/>
    <w:rsid w:val="00572EA5"/>
    <w:rsid w:val="005A6E03"/>
    <w:rsid w:val="00616ADE"/>
    <w:rsid w:val="00635EDF"/>
    <w:rsid w:val="00673E65"/>
    <w:rsid w:val="00697B05"/>
    <w:rsid w:val="006C291A"/>
    <w:rsid w:val="006E3287"/>
    <w:rsid w:val="006E7A33"/>
    <w:rsid w:val="00741A3B"/>
    <w:rsid w:val="007501E5"/>
    <w:rsid w:val="007537D3"/>
    <w:rsid w:val="007559F6"/>
    <w:rsid w:val="0076354F"/>
    <w:rsid w:val="0078255A"/>
    <w:rsid w:val="0083751B"/>
    <w:rsid w:val="008409A4"/>
    <w:rsid w:val="00870799"/>
    <w:rsid w:val="008707A2"/>
    <w:rsid w:val="00870C15"/>
    <w:rsid w:val="008A5984"/>
    <w:rsid w:val="008B58AF"/>
    <w:rsid w:val="008D7945"/>
    <w:rsid w:val="008E60A6"/>
    <w:rsid w:val="00900B73"/>
    <w:rsid w:val="009203F6"/>
    <w:rsid w:val="00931AAD"/>
    <w:rsid w:val="009D5DAB"/>
    <w:rsid w:val="009E2488"/>
    <w:rsid w:val="009F1732"/>
    <w:rsid w:val="00A43A1C"/>
    <w:rsid w:val="00A85028"/>
    <w:rsid w:val="00A914EB"/>
    <w:rsid w:val="00AD1E42"/>
    <w:rsid w:val="00AE41F8"/>
    <w:rsid w:val="00AE42D3"/>
    <w:rsid w:val="00BF3626"/>
    <w:rsid w:val="00C35F5F"/>
    <w:rsid w:val="00C41BF8"/>
    <w:rsid w:val="00CA56AB"/>
    <w:rsid w:val="00CC048C"/>
    <w:rsid w:val="00D1317E"/>
    <w:rsid w:val="00D5633F"/>
    <w:rsid w:val="00DD4CB5"/>
    <w:rsid w:val="00E12C03"/>
    <w:rsid w:val="00E406FD"/>
    <w:rsid w:val="00E87B47"/>
    <w:rsid w:val="00E9279C"/>
    <w:rsid w:val="00E9713F"/>
    <w:rsid w:val="00EF4D79"/>
    <w:rsid w:val="00F2429D"/>
    <w:rsid w:val="00F55F1C"/>
    <w:rsid w:val="00F66B63"/>
    <w:rsid w:val="00F84D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A9DB"/>
  <w15:docId w15:val="{7D9BE59D-7220-46DF-B3F4-79B1A731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F3D8-3E23-465E-A42C-9AD5D940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opekaturki@yandex.ru</cp:lastModifiedBy>
  <cp:revision>2</cp:revision>
  <cp:lastPrinted>2024-02-26T11:49:00Z</cp:lastPrinted>
  <dcterms:created xsi:type="dcterms:W3CDTF">2024-02-29T10:29:00Z</dcterms:created>
  <dcterms:modified xsi:type="dcterms:W3CDTF">2024-02-29T10:29:00Z</dcterms:modified>
</cp:coreProperties>
</file>