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EA" w:rsidRDefault="0071617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DFE" stroked="f"/>
            </w:pict>
          </mc:Fallback>
        </mc:AlternateContent>
      </w:r>
    </w:p>
    <w:p w:rsidR="00C072EA" w:rsidRDefault="00716170">
      <w:pPr>
        <w:pStyle w:val="11"/>
        <w:keepNext/>
        <w:keepLines/>
        <w:spacing w:before="140" w:after="260"/>
      </w:pPr>
      <w:bookmarkStart w:id="0" w:name="bookmark0"/>
      <w:r>
        <w:t>АНАЛИТИЧЕСКАЯ ЗАПИСКА</w:t>
      </w:r>
      <w:bookmarkEnd w:id="0"/>
    </w:p>
    <w:p w:rsidR="002A3BF6" w:rsidRPr="002A3BF6" w:rsidRDefault="00716170" w:rsidP="002A3B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6">
        <w:rPr>
          <w:rFonts w:ascii="Times New Roman" w:hAnsi="Times New Roman" w:cs="Times New Roman"/>
          <w:b/>
          <w:sz w:val="28"/>
          <w:szCs w:val="28"/>
        </w:rPr>
        <w:t>проведения ежегодной оценки всех видов преференций юридическим</w:t>
      </w:r>
      <w:r w:rsidRPr="002A3BF6">
        <w:rPr>
          <w:rFonts w:ascii="Times New Roman" w:hAnsi="Times New Roman" w:cs="Times New Roman"/>
          <w:b/>
          <w:sz w:val="28"/>
          <w:szCs w:val="28"/>
        </w:rPr>
        <w:br/>
        <w:t>лицам (льготы, субвенции, компенсация процентных ставок по кредитам,</w:t>
      </w:r>
      <w:r w:rsidRPr="002A3BF6">
        <w:rPr>
          <w:rFonts w:ascii="Times New Roman" w:hAnsi="Times New Roman" w:cs="Times New Roman"/>
          <w:b/>
          <w:sz w:val="28"/>
          <w:szCs w:val="28"/>
        </w:rPr>
        <w:br/>
        <w:t>гарантий)</w:t>
      </w:r>
      <w:r w:rsidR="002A3BF6" w:rsidRPr="002A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BF6">
        <w:rPr>
          <w:rFonts w:ascii="Times New Roman" w:hAnsi="Times New Roman" w:cs="Times New Roman"/>
          <w:b/>
          <w:sz w:val="28"/>
          <w:szCs w:val="28"/>
        </w:rPr>
        <w:t>и финансового результата для бюджета</w:t>
      </w:r>
    </w:p>
    <w:p w:rsidR="002A3BF6" w:rsidRPr="002A3BF6" w:rsidRDefault="002A3BF6" w:rsidP="002A3B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6">
        <w:rPr>
          <w:rFonts w:ascii="Times New Roman" w:hAnsi="Times New Roman" w:cs="Times New Roman"/>
          <w:b/>
          <w:sz w:val="28"/>
          <w:szCs w:val="28"/>
        </w:rPr>
        <w:t>Турковского муниципального</w:t>
      </w:r>
    </w:p>
    <w:p w:rsidR="00C072EA" w:rsidRPr="002A3BF6" w:rsidRDefault="00716170" w:rsidP="002A3B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072EA" w:rsidRDefault="00716170">
      <w:pPr>
        <w:pStyle w:val="11"/>
        <w:keepNext/>
        <w:keepLines/>
        <w:spacing w:before="0" w:after="220"/>
      </w:pPr>
      <w:bookmarkStart w:id="1" w:name="bookmark2"/>
      <w:r>
        <w:t>за 2024 год.</w:t>
      </w:r>
      <w:bookmarkEnd w:id="1"/>
    </w:p>
    <w:p w:rsidR="00C072EA" w:rsidRDefault="00716170">
      <w:pPr>
        <w:pStyle w:val="1"/>
        <w:tabs>
          <w:tab w:val="left" w:pos="7996"/>
        </w:tabs>
        <w:spacing w:after="220" w:line="264" w:lineRule="auto"/>
        <w:ind w:firstLine="1180"/>
        <w:jc w:val="both"/>
      </w:pPr>
      <w:r>
        <w:t xml:space="preserve">Основными целями </w:t>
      </w:r>
      <w:r>
        <w:t>предоставления налоговых льгот и льгот по неналоговым доходам являются: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10"/>
        </w:tabs>
        <w:spacing w:after="220"/>
        <w:ind w:firstLine="880"/>
        <w:jc w:val="both"/>
      </w:pPr>
      <w:r>
        <w:t>обеспечение экономической заинтересованности организаций и физических лиц в расширении приоритетных видов хозяйственной деятельности;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10"/>
        </w:tabs>
        <w:spacing w:after="220"/>
        <w:ind w:firstLine="880"/>
        <w:jc w:val="both"/>
      </w:pPr>
      <w:r>
        <w:t>стимулирование использования финансовых ресурсов</w:t>
      </w:r>
      <w:r>
        <w:t>, направляемых на создание, расширение и обновление производств и технологий по выпуску необходимой району продукции (товаров, услуг);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00"/>
        </w:tabs>
        <w:spacing w:after="220"/>
        <w:ind w:firstLine="880"/>
        <w:jc w:val="both"/>
      </w:pPr>
      <w:r>
        <w:t>создание благоприятных экономических условий для деятельности организаций, применяющих труд социально незащищенных катего</w:t>
      </w:r>
      <w:r>
        <w:t>рий граждан;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10"/>
        </w:tabs>
        <w:spacing w:after="220" w:line="257" w:lineRule="auto"/>
        <w:ind w:firstLine="880"/>
        <w:jc w:val="both"/>
      </w:pPr>
      <w:r>
        <w:t>создание необходимых экономических условий для развития инвестиционной деятельности в районе;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03"/>
        </w:tabs>
        <w:spacing w:after="220" w:line="257" w:lineRule="auto"/>
        <w:ind w:firstLine="880"/>
        <w:jc w:val="both"/>
      </w:pPr>
      <w:r>
        <w:t>оказание экономической поддержки организациям в решении приоритетных социальных задач;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859"/>
        </w:tabs>
        <w:spacing w:after="220"/>
        <w:ind w:firstLine="840"/>
        <w:jc w:val="both"/>
      </w:pPr>
      <w:r>
        <w:t>развитие налогооблагаемой базы в районе;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859"/>
        </w:tabs>
        <w:spacing w:after="220"/>
        <w:ind w:firstLine="840"/>
        <w:jc w:val="both"/>
      </w:pPr>
      <w:r>
        <w:t>прирост платежей в бю</w:t>
      </w:r>
      <w:r>
        <w:t>джет района;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859"/>
        </w:tabs>
        <w:spacing w:after="220"/>
        <w:ind w:firstLine="840"/>
      </w:pPr>
      <w:r>
        <w:t>оказание поддержки социально незащищенным категориям граждан.</w:t>
      </w:r>
    </w:p>
    <w:p w:rsidR="00C072EA" w:rsidRDefault="00716170">
      <w:pPr>
        <w:pStyle w:val="1"/>
        <w:spacing w:after="220" w:line="266" w:lineRule="auto"/>
        <w:ind w:firstLine="1180"/>
        <w:jc w:val="both"/>
      </w:pPr>
      <w:r>
        <w:t>Установление налоговых льгот и льгот по неналоговым доходам осуществляется с соблюдением следующих основных принципов:</w:t>
      </w:r>
    </w:p>
    <w:p w:rsidR="00C072EA" w:rsidRDefault="00716170">
      <w:pPr>
        <w:pStyle w:val="20"/>
      </w:pPr>
      <w:r>
        <w:t>।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096"/>
        </w:tabs>
        <w:spacing w:after="220"/>
        <w:ind w:firstLine="880"/>
        <w:jc w:val="both"/>
      </w:pPr>
      <w:r>
        <w:t xml:space="preserve">налоговые льготы и льготы по неналоговым доходам </w:t>
      </w:r>
      <w:r>
        <w:t>устанавливаются на срок не менее одного налогового периода по соответствующему платежу;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10"/>
        </w:tabs>
        <w:spacing w:after="220"/>
        <w:ind w:firstLine="880"/>
        <w:jc w:val="both"/>
      </w:pPr>
      <w:r>
        <w:t>налоговые льготы и льготы по неналоговым доходам устанавливаются только категориям налогоплательщиков и не носят индивидуального характера;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110"/>
        </w:tabs>
        <w:spacing w:after="220"/>
        <w:ind w:firstLine="880"/>
        <w:jc w:val="both"/>
      </w:pPr>
      <w:r>
        <w:t>не допускать установления на</w:t>
      </w:r>
      <w:r>
        <w:t>логовых льгот и льгот по неналоговым доходам в зависимости от формы собственности, гражданства физических лиц или места происхождения капитала.</w:t>
      </w:r>
      <w:r>
        <w:br w:type="page"/>
      </w:r>
    </w:p>
    <w:p w:rsidR="00C072EA" w:rsidRDefault="0071617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B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FFBFF" stroked="f"/>
            </w:pict>
          </mc:Fallback>
        </mc:AlternateContent>
      </w:r>
    </w:p>
    <w:p w:rsidR="00C072EA" w:rsidRDefault="00716170">
      <w:pPr>
        <w:pStyle w:val="1"/>
        <w:spacing w:after="260"/>
        <w:ind w:firstLine="1160"/>
        <w:jc w:val="both"/>
      </w:pPr>
      <w:r>
        <w:t>Оценка предоставления (пролонгации) налоговых льгот и льгот по неналоговым доходам осуществляется в отношении</w:t>
      </w:r>
      <w:r>
        <w:t>:</w:t>
      </w:r>
    </w:p>
    <w:p w:rsidR="00C072EA" w:rsidRDefault="00716170">
      <w:pPr>
        <w:pStyle w:val="1"/>
        <w:numPr>
          <w:ilvl w:val="0"/>
          <w:numId w:val="1"/>
        </w:numPr>
        <w:tabs>
          <w:tab w:val="left" w:pos="1065"/>
        </w:tabs>
        <w:spacing w:after="260"/>
        <w:ind w:firstLine="880"/>
        <w:jc w:val="both"/>
      </w:pPr>
      <w:r>
        <w:t>налоговых льгот и льгот по неналоговым доходам организациям, финансируемым не из областного и местных бюджетов, в зависимости от целей предоставления - на наличие бюджетной и экономической эффективности или экономической и социальной эффективности;</w:t>
      </w:r>
    </w:p>
    <w:p w:rsidR="00C072EA" w:rsidRDefault="00716170">
      <w:pPr>
        <w:pStyle w:val="1"/>
        <w:tabs>
          <w:tab w:val="left" w:pos="7981"/>
        </w:tabs>
        <w:spacing w:after="260"/>
        <w:ind w:firstLine="1020"/>
        <w:jc w:val="both"/>
      </w:pPr>
      <w:r>
        <w:t>Оценк</w:t>
      </w:r>
      <w:r>
        <w:t>а эффективности предоставляемых (планируемых к предоставлению) налоговых льгот и льгот по неналоговым доходам осуществляется по следующим критериям:</w:t>
      </w:r>
    </w:p>
    <w:p w:rsidR="00C072EA" w:rsidRDefault="00716170">
      <w:pPr>
        <w:pStyle w:val="1"/>
        <w:numPr>
          <w:ilvl w:val="0"/>
          <w:numId w:val="2"/>
        </w:numPr>
        <w:tabs>
          <w:tab w:val="left" w:pos="1340"/>
        </w:tabs>
        <w:spacing w:after="260"/>
        <w:ind w:firstLine="1020"/>
        <w:jc w:val="both"/>
      </w:pPr>
      <w:r>
        <w:t>бюджетная эффективность.</w:t>
      </w:r>
    </w:p>
    <w:p w:rsidR="00C072EA" w:rsidRDefault="00716170">
      <w:pPr>
        <w:pStyle w:val="1"/>
        <w:spacing w:after="260"/>
        <w:ind w:firstLine="1020"/>
        <w:jc w:val="both"/>
      </w:pPr>
      <w:r>
        <w:t xml:space="preserve">Налоговая льгота и льготы по неналоговым доходам имеют бюджетную эффективность, </w:t>
      </w:r>
      <w:r>
        <w:t>если сумма дисконтированного прироста полученных (планируемых к получению) поступлений в бюджет района, в результате предоставления налоговых льгот и льгот по неналоговым доходам, превышает или равна сумме предоставляемых (планируемых к предоставлению) нал</w:t>
      </w:r>
      <w:r>
        <w:t>оговых льгот и льгот по неналоговым доходам. Коэффициент дисконтирования применяется в размере индекса потребительских цен;</w:t>
      </w:r>
    </w:p>
    <w:p w:rsidR="00C072EA" w:rsidRDefault="00716170">
      <w:pPr>
        <w:pStyle w:val="1"/>
        <w:numPr>
          <w:ilvl w:val="0"/>
          <w:numId w:val="2"/>
        </w:numPr>
        <w:tabs>
          <w:tab w:val="left" w:pos="1332"/>
        </w:tabs>
        <w:spacing w:after="260"/>
        <w:ind w:firstLine="980"/>
        <w:jc w:val="both"/>
      </w:pPr>
      <w:r>
        <w:t>экономическая эффективность.</w:t>
      </w:r>
    </w:p>
    <w:p w:rsidR="00C072EA" w:rsidRDefault="00716170">
      <w:pPr>
        <w:pStyle w:val="1"/>
        <w:spacing w:after="260"/>
        <w:ind w:firstLine="1020"/>
        <w:jc w:val="both"/>
      </w:pPr>
      <w:r>
        <w:t xml:space="preserve">Оценка экономической эффективности предоставляемых (планируемых к предоставлению) налоговых льгот и </w:t>
      </w:r>
      <w:r>
        <w:t>льгот по неналоговым доходам осуществляется на основании динамики финансово-экономических показателей деятельности категории налогоплательщиков согласно перечню, утвержденному в порядке и методике оценки эффективности предоставляемых (планируемых к предост</w:t>
      </w:r>
      <w:r>
        <w:t>авлению) налоговых льгот и льгот по неналоговым доходам.</w:t>
      </w:r>
    </w:p>
    <w:p w:rsidR="00C072EA" w:rsidRDefault="00716170">
      <w:pPr>
        <w:pStyle w:val="1"/>
        <w:spacing w:after="260" w:line="259" w:lineRule="auto"/>
        <w:ind w:firstLine="1220"/>
        <w:jc w:val="both"/>
      </w:pPr>
      <w:r>
        <w:t>Налоговые льгот</w:t>
      </w:r>
      <w:r w:rsidR="002A3BF6">
        <w:t>ы</w:t>
      </w:r>
      <w:r>
        <w:t xml:space="preserve"> и льготы по неналоговым доходам имеют экономическую эффективность, если 70 процентов финансово-экономических показателей деятельности категории плательщиков согласно перечню, утверж</w:t>
      </w:r>
      <w:r>
        <w:t>денному в порядке и методике оценки эффективности предоставляемых (планируемых к предоставлению) налоговых льгот и льгот по неналоговым доходам, имеют положительную динамику.</w:t>
      </w:r>
    </w:p>
    <w:p w:rsidR="00C072EA" w:rsidRDefault="00716170">
      <w:pPr>
        <w:pStyle w:val="1"/>
        <w:spacing w:after="260"/>
        <w:ind w:firstLine="980"/>
        <w:jc w:val="both"/>
      </w:pPr>
      <w:r>
        <w:t>Динамика является положительной, если:</w:t>
      </w:r>
    </w:p>
    <w:p w:rsidR="00C072EA" w:rsidRDefault="00716170">
      <w:pPr>
        <w:pStyle w:val="1"/>
        <w:spacing w:after="260"/>
        <w:ind w:firstLine="1020"/>
        <w:jc w:val="both"/>
      </w:pPr>
      <w:r>
        <w:t>темп роста финансово-экономических показат</w:t>
      </w:r>
      <w:r>
        <w:t>елей деятельности категории налогоплательщиков в результате предоставления налоговых льгот и льгот по неналоговым доходам больше темпа роста финансово-экономических показателей деятельности категории плательщиков без применения льгот;</w:t>
      </w:r>
      <w:r>
        <w:br w:type="page"/>
      </w:r>
    </w:p>
    <w:p w:rsidR="00C072EA" w:rsidRDefault="00716170">
      <w:pPr>
        <w:pStyle w:val="1"/>
        <w:ind w:firstLine="1220"/>
        <w:jc w:val="both"/>
      </w:pPr>
      <w:r>
        <w:lastRenderedPageBreak/>
        <w:t>темп падения финансово-экономических показателей деятельности категории плательщиков в результате предоставления налоговых льгот и льгот по неналоговым доходам меньше темпа падения финансово-экономических показателей деятельности категории плательщиков без</w:t>
      </w:r>
      <w:r>
        <w:t xml:space="preserve"> применения налоговой льготы и льгот по неналоговым доходам;</w:t>
      </w:r>
    </w:p>
    <w:p w:rsidR="00C072EA" w:rsidRDefault="00716170">
      <w:pPr>
        <w:pStyle w:val="1"/>
        <w:numPr>
          <w:ilvl w:val="0"/>
          <w:numId w:val="2"/>
        </w:numPr>
        <w:tabs>
          <w:tab w:val="left" w:pos="1345"/>
        </w:tabs>
        <w:ind w:firstLine="1000"/>
        <w:jc w:val="both"/>
      </w:pPr>
      <w:r>
        <w:t>социальная эффективность.</w:t>
      </w:r>
    </w:p>
    <w:p w:rsidR="00C072EA" w:rsidRDefault="00716170">
      <w:pPr>
        <w:pStyle w:val="1"/>
        <w:ind w:firstLine="1100"/>
        <w:jc w:val="both"/>
      </w:pPr>
      <w:r>
        <w:t>Налоговые льготы и льготы по неналоговым доходам организациям признаются социально эффективными при увеличении числа рабочих мест, созданных для социально незащищенных</w:t>
      </w:r>
      <w:r>
        <w:t xml:space="preserve"> категорий граждан. .</w:t>
      </w:r>
    </w:p>
    <w:p w:rsidR="00C072EA" w:rsidRDefault="00716170">
      <w:pPr>
        <w:pStyle w:val="1"/>
        <w:spacing w:line="264" w:lineRule="auto"/>
        <w:ind w:firstLine="860"/>
        <w:jc w:val="both"/>
      </w:pPr>
      <w:r>
        <w:t xml:space="preserve">Эффективность предоставления (пролонгации) налоговых льгот и льгот по неналоговым доходам рассчитывается по каждому налогу и неналоговым доходам в разрезе подразделов кодов основного вида экономической деятельности налогоплательщика, </w:t>
      </w:r>
      <w:r>
        <w:t>согласно Общероссийскому классификатору видов экономич</w:t>
      </w:r>
      <w:r>
        <w:t>е</w:t>
      </w:r>
      <w:r>
        <w:t>ской деятельности.</w:t>
      </w:r>
    </w:p>
    <w:p w:rsidR="00C072EA" w:rsidRDefault="00716170">
      <w:pPr>
        <w:pStyle w:val="1"/>
        <w:ind w:firstLine="1020"/>
        <w:jc w:val="both"/>
      </w:pPr>
      <w:r>
        <w:t>При наличии сведений о суммах налоговых льгот и льгот по неналоговым доходам по категориям налогоплательщиков эффективность налоговых льгот и льгот по неналоговым доходам рассчитывае</w:t>
      </w:r>
      <w:r>
        <w:t>тся по каждой категории плательщиков.</w:t>
      </w:r>
    </w:p>
    <w:p w:rsidR="00C072EA" w:rsidRDefault="00716170">
      <w:pPr>
        <w:pStyle w:val="1"/>
        <w:spacing w:after="840"/>
        <w:ind w:firstLine="1100"/>
        <w:jc w:val="both"/>
      </w:pPr>
      <w:r>
        <w:t>В 2024 году льготы, субсидии, преференции юридическим лицам не предостав</w:t>
      </w:r>
      <w:r>
        <w:t>л</w:t>
      </w:r>
      <w:r>
        <w:t>ялись.</w:t>
      </w:r>
    </w:p>
    <w:p w:rsidR="00366B53" w:rsidRPr="00366B53" w:rsidRDefault="00366B53" w:rsidP="00366B53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366B5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Заместитель главы администрации</w:t>
      </w:r>
    </w:p>
    <w:p w:rsidR="00366B53" w:rsidRPr="00366B53" w:rsidRDefault="00366B53" w:rsidP="00366B53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366B5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муниципального района,</w:t>
      </w:r>
    </w:p>
    <w:p w:rsidR="00366B53" w:rsidRPr="00366B53" w:rsidRDefault="00366B53" w:rsidP="00366B53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366B5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начальник финансового управления</w:t>
      </w:r>
      <w:r w:rsidRPr="00366B5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ab/>
        <w:t xml:space="preserve">                                 В.В. Губина</w:t>
      </w:r>
    </w:p>
    <w:p w:rsidR="00366B53" w:rsidRDefault="00366B53">
      <w:pPr>
        <w:pStyle w:val="1"/>
        <w:spacing w:after="840"/>
        <w:ind w:firstLine="1100"/>
        <w:jc w:val="both"/>
      </w:pPr>
      <w:bookmarkStart w:id="2" w:name="_GoBack"/>
      <w:bookmarkEnd w:id="2"/>
    </w:p>
    <w:p w:rsidR="00C072EA" w:rsidRDefault="00716170">
      <w:pPr>
        <w:pStyle w:val="1"/>
        <w:ind w:firstLine="860"/>
        <w:jc w:val="both"/>
      </w:pPr>
      <w:r>
        <w:rPr>
          <w:noProof/>
          <w:lang w:bidi="ar-SA"/>
        </w:rPr>
        <mc:AlternateContent>
          <mc:Choice Requires="wps">
            <w:drawing>
              <wp:anchor distT="198755" distB="116205" distL="996950" distR="114300" simplePos="0" relativeHeight="251659776" behindDoc="0" locked="0" layoutInCell="1" allowOverlap="1">
                <wp:simplePos x="0" y="0"/>
                <wp:positionH relativeFrom="page">
                  <wp:posOffset>5628005</wp:posOffset>
                </wp:positionH>
                <wp:positionV relativeFrom="paragraph">
                  <wp:posOffset>376555</wp:posOffset>
                </wp:positionV>
                <wp:extent cx="925830" cy="2197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72EA" w:rsidRDefault="002A3BF6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43.15pt;margin-top:29.65pt;width:72.9pt;height:17.3pt;z-index:251659776;visibility:visible;mso-wrap-style:none;mso-wrap-distance-left:78.5pt;mso-wrap-distance-top:15.65pt;mso-wrap-distance-right:9pt;mso-wrap-distance-bottom: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" filled="f" stroked="f">
                <v:textbox inset="0,0,0,0">
                  <w:txbxContent>
                    <w:p w:rsidR="00C072EA" w:rsidRDefault="002A3BF6">
                      <w:pPr>
                        <w:pStyle w:val="1"/>
                        <w:spacing w:after="0"/>
                        <w:ind w:firstLine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A3BF6">
        <w:rPr>
          <w:noProof/>
          <w:lang w:bidi="ar-SA"/>
        </w:rPr>
        <w:t xml:space="preserve">  </w:t>
      </w:r>
    </w:p>
    <w:p w:rsidR="00C072EA" w:rsidRDefault="0071617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txbx>
                        <w:txbxContent>
                          <w:p w:rsidR="00366B53" w:rsidRDefault="00366B53" w:rsidP="00366B5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7" style="position:absolute;margin-left:0;margin-top:0;width:595pt;height:84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" fillcolor="#fefdfe" stroked="f">
                <v:path arrowok="t"/>
                <o:lock v:ext="edit" rotation="t" position="t"/>
                <v:textbox>
                  <w:txbxContent>
                    <w:p w:rsidR="00366B53" w:rsidRDefault="00366B53" w:rsidP="00366B5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072EA" w:rsidRDefault="002A3BF6">
      <w:pPr>
        <w:pStyle w:val="1"/>
        <w:ind w:firstLine="860"/>
        <w:jc w:val="both"/>
      </w:pPr>
      <w:r>
        <w:t xml:space="preserve"> </w:t>
      </w:r>
    </w:p>
    <w:sectPr w:rsidR="00C072EA">
      <w:pgSz w:w="11900" w:h="16840"/>
      <w:pgMar w:top="1163" w:right="507" w:bottom="1559" w:left="1075" w:header="735" w:footer="11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70" w:rsidRDefault="00716170">
      <w:r>
        <w:separator/>
      </w:r>
    </w:p>
  </w:endnote>
  <w:endnote w:type="continuationSeparator" w:id="0">
    <w:p w:rsidR="00716170" w:rsidRDefault="0071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70" w:rsidRDefault="00716170"/>
  </w:footnote>
  <w:footnote w:type="continuationSeparator" w:id="0">
    <w:p w:rsidR="00716170" w:rsidRDefault="007161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89F"/>
    <w:multiLevelType w:val="multilevel"/>
    <w:tmpl w:val="C7908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3A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21C20"/>
    <w:multiLevelType w:val="multilevel"/>
    <w:tmpl w:val="76FAC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3A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EA"/>
    <w:rsid w:val="002A3BF6"/>
    <w:rsid w:val="00366B53"/>
    <w:rsid w:val="00716170"/>
    <w:rsid w:val="00C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BEB1-C3E5-4506-9308-AB88C6C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A3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A3D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color w:val="403A3D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color w:val="403A3D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70" w:after="240"/>
      <w:jc w:val="center"/>
      <w:outlineLvl w:val="0"/>
    </w:pPr>
    <w:rPr>
      <w:rFonts w:ascii="Times New Roman" w:eastAsia="Times New Roman" w:hAnsi="Times New Roman" w:cs="Times New Roman"/>
      <w:b/>
      <w:bCs/>
      <w:color w:val="403A3D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6260"/>
    </w:pPr>
    <w:rPr>
      <w:color w:val="403A3D"/>
      <w:sz w:val="12"/>
      <w:szCs w:val="12"/>
    </w:rPr>
  </w:style>
  <w:style w:type="paragraph" w:styleId="a4">
    <w:name w:val="No Spacing"/>
    <w:uiPriority w:val="1"/>
    <w:qFormat/>
    <w:rsid w:val="002A3B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2025-04-04T07:01:00Z</dcterms:created>
  <dcterms:modified xsi:type="dcterms:W3CDTF">2025-04-04T07:04:00Z</dcterms:modified>
</cp:coreProperties>
</file>