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beforeAutospacing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color w:val="000000"/>
          <w:sz w:val="28"/>
          <w:highlight w:val="none"/>
        </w:rPr>
        <w:t xml:space="preserve">Приложение 4</w:t>
      </w:r>
      <w:r>
        <w:rPr>
          <w:rFonts w:ascii="PT Astra Serif" w:hAnsi="PT Astra Serif" w:eastAsia="PT Astra Serif" w:cs="PT Astra Serif"/>
          <w:b/>
          <w:color w:val="000000"/>
          <w:sz w:val="28"/>
          <w:highlight w:val="none"/>
        </w:rPr>
      </w:r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color w:val="000000"/>
          <w:sz w:val="28"/>
          <w:highlight w:val="none"/>
        </w:rPr>
      </w:r>
      <w:r>
        <w:rPr>
          <w:rFonts w:ascii="PT Astra Serif" w:hAnsi="PT Astra Serif" w:eastAsia="PT Astra Serif" w:cs="PT Astra Serif"/>
          <w:b/>
          <w:color w:val="000000"/>
          <w:sz w:val="28"/>
          <w:highlight w:val="none"/>
        </w:rPr>
      </w:r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color w:val="000000"/>
          <w:sz w:val="28"/>
        </w:rPr>
        <w:t xml:space="preserve">Заявка</w:t>
      </w:r>
      <w:r/>
    </w:p>
    <w:p>
      <w:pPr>
        <w:ind w:left="0" w:right="0" w:firstLine="0"/>
        <w:jc w:val="center"/>
        <w:spacing w:before="0" w:beforeAutospacing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color w:val="000000"/>
          <w:sz w:val="28"/>
        </w:rPr>
        <w:t xml:space="preserve">на участие в ежегодном областном конкурсе «Инвестор года»</w:t>
      </w:r>
      <w:r/>
    </w:p>
    <w:p>
      <w:pPr>
        <w:ind w:left="0" w:right="0" w:firstLine="0"/>
        <w:jc w:val="center"/>
        <w:spacing w:before="0" w:beforeAutospacing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color w:val="000000"/>
          <w:sz w:val="28"/>
        </w:rPr>
        <w:t xml:space="preserve">в номинации «Лучший орган местного самоуправления Саратовской области в сфере управления инвестициями»*</w:t>
      </w:r>
      <w:r/>
    </w:p>
    <w:p>
      <w:pPr>
        <w:ind w:left="0" w:right="0" w:firstLine="0"/>
        <w:jc w:val="both"/>
        <w:spacing w:before="28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tbl>
      <w:tblPr>
        <w:tblStyle w:val="870"/>
        <w:tblW w:w="0" w:type="auto"/>
        <w:tblInd w:w="-539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661"/>
        <w:gridCol w:w="2551"/>
      </w:tblGrid>
      <w:tr>
        <w:trPr>
          <w:trHeight w:val="8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80" w:after="142" w:line="322" w:lineRule="atLeas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Times New Roman" w:cs="PT Astra Serif"/>
                <w:b/>
                <w:bCs/>
                <w:color w:val="000000"/>
                <w:sz w:val="28"/>
                <w:szCs w:val="28"/>
              </w:rPr>
              <w:t xml:space="preserve"> № </w:t>
              <w:br/>
            </w: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8"/>
                <w:szCs w:val="28"/>
              </w:rPr>
              <w:t xml:space="preserve">п/п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6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80" w:after="142" w:line="322" w:lineRule="atLeas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8"/>
                <w:szCs w:val="28"/>
              </w:rPr>
              <w:t xml:space="preserve">Показатель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80" w:after="142" w:line="322" w:lineRule="atLeas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8"/>
                <w:szCs w:val="28"/>
              </w:rPr>
              <w:t xml:space="preserve">Подтверждение достижения**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80" w:after="142" w:line="322" w:lineRule="atLeast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1.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6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80" w:after="142" w:line="322" w:lineRule="atLeast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Актуальность и полнота сведений о муниципальном образовании на «Странице инвестора»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80" w:after="142" w:line="322" w:lineRule="atLeast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80" w:after="142" w:line="322" w:lineRule="atLeast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2.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6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80" w:after="142" w:line="322" w:lineRule="atLeast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Количество предлагаемых и размещенных на сайте свободных площадок 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80" w:after="142" w:line="322" w:lineRule="atLeast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80" w:after="142" w:line="322" w:lineRule="atLeast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3.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6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80" w:after="142" w:line="322" w:lineRule="atLeast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Работа совета по инвестициям муниципального образования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80" w:after="142" w:line="322" w:lineRule="atLeast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80" w:after="142" w:line="322" w:lineRule="atLeast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4.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6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80" w:after="142" w:line="322" w:lineRule="atLeast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Инвестиционные проекты от 10 млн рублей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80" w:after="142" w:line="322" w:lineRule="atLeast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80" w:after="142" w:line="322" w:lineRule="atLeast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5.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6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80" w:after="142" w:line="322" w:lineRule="atLeast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Участие в тематических конгрессно-выставочных мероприятиях, семинарах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80" w:after="142" w:line="322" w:lineRule="atLeast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80" w:after="142" w:line="322" w:lineRule="atLeast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6.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6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80" w:after="142" w:line="322" w:lineRule="atLeast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Наличие заявок от бизнеса муниципального </w:t>
            </w:r>
            <w:r>
              <w:rPr>
                <w:rFonts w:ascii="PT Astra Serif" w:hAnsi="PT Astra Serif" w:eastAsia="PT Astra Serif" w:cs="PT Astra Serif"/>
                <w:color w:val="000000"/>
                <w:spacing w:val="-8"/>
                <w:sz w:val="28"/>
                <w:szCs w:val="28"/>
              </w:rPr>
              <w:t xml:space="preserve">образования для участия в конкурсе «Инвестор года»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80" w:after="142" w:line="322" w:lineRule="atLeast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80" w:after="142" w:line="322" w:lineRule="atLeast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7.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6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80" w:after="142" w:line="322" w:lineRule="atLeast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Количество созданных рабочих мест в отчетном году по итогам реализации инвестиционных проектов***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80" w:after="142" w:line="322" w:lineRule="atLeast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</w:tr>
    </w:tbl>
    <w:p>
      <w:pPr>
        <w:ind w:left="0" w:right="0" w:firstLine="709"/>
        <w:jc w:val="both"/>
        <w:spacing w:before="280" w:after="0" w:line="57" w:lineRule="atLeast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Я подтверждаю, что информация, указанная в настоящей заявке участника ежегодного областного конкурса «Инвестор года», является достоверной.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709"/>
        <w:jc w:val="both"/>
        <w:spacing w:before="28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</w:rPr>
        <w:t xml:space="preserve">* заполняется на бланке органа местного самоуправления, подписывается руководителем; </w:t>
      </w:r>
      <w:r/>
    </w:p>
    <w:p>
      <w:pPr>
        <w:ind w:left="0" w:right="0" w:firstLine="709"/>
        <w:jc w:val="both"/>
        <w:spacing w:before="28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</w:rPr>
        <w:t xml:space="preserve">** осуществляется описанием, с включением активных ссылок на размещение информации, приложением заверенных в установленном порядке копий документов, выписок; </w:t>
      </w:r>
      <w:r/>
    </w:p>
    <w:p>
      <w:pPr>
        <w:ind w:left="0" w:right="0" w:firstLine="709"/>
        <w:jc w:val="both"/>
        <w:spacing w:before="28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</w:rPr>
        <w:t xml:space="preserve">*** подтверждается заверенной копией письма инвестора в адрес органа местного самоуправления.».</w:t>
      </w:r>
      <w:r/>
    </w:p>
    <w:sectPr>
      <w:headerReference w:type="even" r:id="rId9"/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Microsoft Sans Serif">
    <w:panose1 w:val="020B0506020203020204"/>
  </w:font>
  <w:font w:name="Cambria">
    <w:panose1 w:val="02040503050406030204"/>
  </w:font>
  <w:font w:name="Tahoma">
    <w:panose1 w:val="020B060603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648" w:hanging="360"/>
      </w:pPr>
      <w:rPr>
        <w:rFonts w:hint="default" w:ascii="Calibri" w:hAnsi="Calibri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23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0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1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0"/>
    <w:next w:val="850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2"/>
    <w:link w:val="680"/>
    <w:uiPriority w:val="9"/>
    <w:rPr>
      <w:rFonts w:ascii="Arial" w:hAnsi="Arial" w:eastAsia="Arial" w:cs="Arial"/>
      <w:sz w:val="40"/>
      <w:szCs w:val="40"/>
    </w:rPr>
  </w:style>
  <w:style w:type="character" w:styleId="682">
    <w:name w:val="Heading 2 Char"/>
    <w:basedOn w:val="852"/>
    <w:link w:val="85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2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2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2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2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2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0"/>
    <w:next w:val="850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2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0"/>
    <w:next w:val="850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2"/>
    <w:link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852"/>
    <w:link w:val="865"/>
    <w:uiPriority w:val="10"/>
    <w:rPr>
      <w:sz w:val="48"/>
      <w:szCs w:val="48"/>
    </w:rPr>
  </w:style>
  <w:style w:type="paragraph" w:styleId="698">
    <w:name w:val="Subtitle"/>
    <w:basedOn w:val="850"/>
    <w:next w:val="850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2"/>
    <w:link w:val="698"/>
    <w:uiPriority w:val="11"/>
    <w:rPr>
      <w:sz w:val="24"/>
      <w:szCs w:val="24"/>
    </w:rPr>
  </w:style>
  <w:style w:type="paragraph" w:styleId="700">
    <w:name w:val="Quote"/>
    <w:basedOn w:val="850"/>
    <w:next w:val="850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0"/>
    <w:next w:val="850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2"/>
    <w:link w:val="871"/>
    <w:uiPriority w:val="99"/>
  </w:style>
  <w:style w:type="character" w:styleId="705">
    <w:name w:val="Footer Char"/>
    <w:basedOn w:val="852"/>
    <w:link w:val="873"/>
    <w:uiPriority w:val="99"/>
  </w:style>
  <w:style w:type="paragraph" w:styleId="706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73"/>
    <w:uiPriority w:val="99"/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2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2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51">
    <w:name w:val="Heading 2"/>
    <w:basedOn w:val="850"/>
    <w:next w:val="850"/>
    <w:link w:val="885"/>
    <w:uiPriority w:val="99"/>
    <w:qFormat/>
    <w:pPr>
      <w:ind w:firstLine="709"/>
      <w:jc w:val="center"/>
      <w:keepNext/>
      <w:spacing w:after="0" w:line="240" w:lineRule="auto"/>
      <w:widowControl w:val="off"/>
      <w:outlineLvl w:val="1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 w:customStyle="1">
    <w:name w:val="ConsPlusNormal"/>
    <w:pPr>
      <w:widowControl w:val="off"/>
    </w:pPr>
    <w:rPr>
      <w:sz w:val="28"/>
    </w:rPr>
  </w:style>
  <w:style w:type="paragraph" w:styleId="856">
    <w:name w:val="List Paragraph"/>
    <w:basedOn w:val="850"/>
    <w:qFormat/>
    <w:pPr>
      <w:contextualSpacing/>
      <w:ind w:left="720"/>
    </w:pPr>
  </w:style>
  <w:style w:type="paragraph" w:styleId="857" w:customStyle="1">
    <w:name w:val="Подпись рукодителя"/>
    <w:basedOn w:val="850"/>
    <w:pPr>
      <w:spacing w:after="0" w:line="240" w:lineRule="auto"/>
    </w:pPr>
    <w:rPr>
      <w:rFonts w:ascii="Times New Roman" w:hAnsi="Times New Roman" w:eastAsia="Times New Roman"/>
      <w:b/>
      <w:sz w:val="28"/>
      <w:szCs w:val="28"/>
      <w:lang w:eastAsia="ru-RU"/>
    </w:rPr>
  </w:style>
  <w:style w:type="paragraph" w:styleId="858" w:customStyle="1">
    <w:name w:val="ConsPlusTitle"/>
    <w:pPr>
      <w:widowControl w:val="off"/>
    </w:pPr>
    <w:rPr>
      <w:b/>
      <w:sz w:val="28"/>
    </w:rPr>
  </w:style>
  <w:style w:type="paragraph" w:styleId="859">
    <w:name w:val="Balloon Text"/>
    <w:basedOn w:val="850"/>
    <w:link w:val="860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860" w:customStyle="1">
    <w:name w:val="Текст выноски Знак"/>
    <w:link w:val="859"/>
    <w:semiHidden/>
    <w:rPr>
      <w:rFonts w:ascii="Tahoma" w:hAnsi="Tahoma" w:eastAsia="Calibri"/>
      <w:sz w:val="16"/>
      <w:szCs w:val="16"/>
      <w:lang w:bidi="ar-SA"/>
    </w:rPr>
  </w:style>
  <w:style w:type="character" w:styleId="861">
    <w:name w:val="Hyperlink"/>
    <w:unhideWhenUsed/>
    <w:rPr>
      <w:color w:val="0000ff"/>
      <w:u w:val="single"/>
    </w:rPr>
  </w:style>
  <w:style w:type="paragraph" w:styleId="862" w:customStyle="1">
    <w:name w:val="consplusnormal"/>
    <w:basedOn w:val="850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863" w:customStyle="1">
    <w:name w:val="ConsPlusTitlePage"/>
    <w:pPr>
      <w:widowControl w:val="off"/>
    </w:pPr>
    <w:rPr>
      <w:rFonts w:ascii="Tahoma" w:hAnsi="Tahoma" w:cs="Tahoma"/>
    </w:rPr>
  </w:style>
  <w:style w:type="character" w:styleId="864" w:customStyle="1">
    <w:name w:val="Название Знак"/>
    <w:link w:val="865"/>
    <w:rPr>
      <w:b/>
      <w:bCs/>
      <w:sz w:val="28"/>
      <w:szCs w:val="24"/>
      <w:lang w:bidi="ar-SA"/>
    </w:rPr>
  </w:style>
  <w:style w:type="paragraph" w:styleId="865">
    <w:name w:val="Title"/>
    <w:basedOn w:val="850"/>
    <w:link w:val="864"/>
    <w:qFormat/>
    <w:pPr>
      <w:jc w:val="center"/>
      <w:spacing w:after="0" w:line="240" w:lineRule="auto"/>
    </w:pPr>
    <w:rPr>
      <w:rFonts w:ascii="Times New Roman" w:hAnsi="Times New Roman" w:eastAsia="Times New Roman"/>
      <w:b/>
      <w:bCs/>
      <w:sz w:val="28"/>
      <w:szCs w:val="24"/>
    </w:rPr>
  </w:style>
  <w:style w:type="character" w:styleId="866" w:customStyle="1">
    <w:name w:val="Название Знак1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paragraph" w:styleId="867" w:customStyle="1">
    <w:name w:val="Заголовок"/>
    <w:basedOn w:val="850"/>
    <w:pPr>
      <w:ind w:right="3232"/>
      <w:jc w:val="both"/>
      <w:spacing w:after="0" w:line="24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paragraph" w:styleId="868">
    <w:name w:val="Body Text Indent"/>
    <w:basedOn w:val="850"/>
    <w:link w:val="869"/>
    <w:pPr>
      <w:ind w:firstLine="708"/>
      <w:spacing w:after="0" w:line="240" w:lineRule="auto"/>
    </w:pPr>
    <w:rPr>
      <w:rFonts w:ascii="Times New Roman" w:hAnsi="Times New Roman" w:eastAsia="Times New Roman"/>
      <w:sz w:val="27"/>
      <w:szCs w:val="27"/>
    </w:rPr>
  </w:style>
  <w:style w:type="character" w:styleId="869" w:customStyle="1">
    <w:name w:val="Основной текст с отступом Знак"/>
    <w:link w:val="868"/>
    <w:rPr>
      <w:sz w:val="27"/>
      <w:szCs w:val="27"/>
      <w:lang w:bidi="ar-SA"/>
    </w:rPr>
  </w:style>
  <w:style w:type="table" w:styleId="870">
    <w:name w:val="Table Grid"/>
    <w:basedOn w:val="853"/>
    <w:rPr>
      <w:rFonts w:ascii="Calibri" w:hAnsi="Calibri" w:eastAsia="Calibri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1">
    <w:name w:val="Header"/>
    <w:basedOn w:val="850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link w:val="871"/>
    <w:uiPriority w:val="99"/>
    <w:rPr>
      <w:rFonts w:ascii="Calibri" w:hAnsi="Calibri" w:eastAsia="Calibri"/>
      <w:sz w:val="22"/>
      <w:szCs w:val="22"/>
      <w:lang w:eastAsia="en-US" w:bidi="ar-SA"/>
    </w:rPr>
  </w:style>
  <w:style w:type="paragraph" w:styleId="873">
    <w:name w:val="Footer"/>
    <w:basedOn w:val="850"/>
    <w:link w:val="874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link w:val="873"/>
    <w:rPr>
      <w:rFonts w:ascii="Calibri" w:hAnsi="Calibri" w:eastAsia="Calibri"/>
      <w:sz w:val="22"/>
      <w:szCs w:val="22"/>
      <w:lang w:eastAsia="en-US" w:bidi="ar-SA"/>
    </w:rPr>
  </w:style>
  <w:style w:type="paragraph" w:styleId="87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76" w:customStyle="1">
    <w:name w:val="Основной текст (2)_"/>
    <w:link w:val="877"/>
    <w:rPr>
      <w:sz w:val="22"/>
      <w:szCs w:val="22"/>
      <w:shd w:val="clear" w:color="auto" w:fill="ffffff"/>
      <w:lang w:bidi="ar-SA"/>
    </w:rPr>
  </w:style>
  <w:style w:type="paragraph" w:styleId="877" w:customStyle="1">
    <w:name w:val="Основной текст (2)"/>
    <w:basedOn w:val="850"/>
    <w:link w:val="876"/>
    <w:pPr>
      <w:ind w:hanging="1540"/>
      <w:jc w:val="both"/>
      <w:spacing w:after="0" w:line="288" w:lineRule="exact"/>
      <w:shd w:val="clear" w:color="auto" w:fill="ffffff"/>
      <w:widowControl w:val="off"/>
    </w:pPr>
    <w:rPr>
      <w:rFonts w:ascii="Times New Roman" w:hAnsi="Times New Roman" w:eastAsia="Times New Roman"/>
      <w:shd w:val="clear" w:color="auto" w:fill="ffffff"/>
    </w:rPr>
  </w:style>
  <w:style w:type="character" w:styleId="878" w:customStyle="1">
    <w:name w:val="Основной текст (2) + Microsoft Sans Serif;10 pt;Курсив"/>
    <w:rPr>
      <w:rFonts w:ascii="Microsoft Sans Serif" w:hAnsi="Microsoft Sans Serif" w:eastAsia="Microsoft Sans Serif" w:cs="Microsoft Sans Serif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879">
    <w:name w:val="Body Text Indent 3"/>
    <w:basedOn w:val="850"/>
    <w:link w:val="880"/>
    <w:unhideWhenUsed/>
    <w:pPr>
      <w:ind w:left="283"/>
      <w:spacing w:after="120"/>
    </w:pPr>
    <w:rPr>
      <w:sz w:val="16"/>
      <w:szCs w:val="16"/>
    </w:rPr>
  </w:style>
  <w:style w:type="character" w:styleId="880" w:customStyle="1">
    <w:name w:val="Основной текст с отступом 3 Знак"/>
    <w:link w:val="879"/>
    <w:rPr>
      <w:rFonts w:ascii="Calibri" w:hAnsi="Calibri" w:eastAsia="Calibri"/>
      <w:sz w:val="16"/>
      <w:szCs w:val="16"/>
      <w:lang w:eastAsia="en-US" w:bidi="ar-SA"/>
    </w:rPr>
  </w:style>
  <w:style w:type="character" w:styleId="881" w:customStyle="1">
    <w:name w:val="apple-converted-space"/>
    <w:basedOn w:val="852"/>
  </w:style>
  <w:style w:type="character" w:styleId="882">
    <w:name w:val="page number"/>
    <w:basedOn w:val="852"/>
  </w:style>
  <w:style w:type="paragraph" w:styleId="883">
    <w:name w:val="Body Text"/>
    <w:basedOn w:val="850"/>
    <w:link w:val="884"/>
    <w:pPr>
      <w:spacing w:after="120"/>
    </w:pPr>
  </w:style>
  <w:style w:type="character" w:styleId="884" w:customStyle="1">
    <w:name w:val="Основной текст Знак"/>
    <w:link w:val="883"/>
    <w:rPr>
      <w:rFonts w:ascii="Calibri" w:hAnsi="Calibri" w:eastAsia="Calibri"/>
      <w:sz w:val="22"/>
      <w:szCs w:val="22"/>
      <w:lang w:eastAsia="en-US"/>
    </w:rPr>
  </w:style>
  <w:style w:type="character" w:styleId="885" w:customStyle="1">
    <w:name w:val="Заголовок 2 Знак"/>
    <w:basedOn w:val="852"/>
    <w:link w:val="851"/>
    <w:uiPriority w:val="99"/>
    <w:rPr>
      <w:sz w:val="28"/>
      <w:szCs w:val="28"/>
    </w:rPr>
  </w:style>
  <w:style w:type="character" w:styleId="886" w:customStyle="1">
    <w:name w:val="fontstyle01"/>
    <w:basedOn w:val="852"/>
    <w:rPr>
      <w:rFonts w:hint="default" w:ascii="PT Astra Serif" w:hAnsi="PT Astra Serif"/>
      <w:b w:val="0"/>
      <w:bCs w:val="0"/>
      <w:i w:val="0"/>
      <w:iCs w:val="0"/>
      <w:color w:val="000000"/>
      <w:sz w:val="22"/>
      <w:szCs w:val="22"/>
    </w:rPr>
  </w:style>
  <w:style w:type="paragraph" w:styleId="887" w:customStyle="1">
    <w:name w:val="ConsPlusNonformat"/>
    <w:pPr>
      <w:widowControl w:val="off"/>
    </w:pPr>
    <w:rPr>
      <w:rFonts w:ascii="Courier New" w:hAnsi="Courier New" w:cs="Courier New" w:eastAsiaTheme="minorEastAsia"/>
      <w:szCs w:val="22"/>
    </w:rPr>
  </w:style>
  <w:style w:type="character" w:styleId="888">
    <w:name w:val="Placeholder Text"/>
    <w:basedOn w:val="852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государственную программу Саратовской области «Развитие экономического потенциала и повышение инвестиционной привлекательности региона до 2020 года»</dc:title>
  <dc:creator>Klimova</dc:creator>
  <cp:revision>55</cp:revision>
  <dcterms:created xsi:type="dcterms:W3CDTF">2023-11-10T06:00:00Z</dcterms:created>
  <dcterms:modified xsi:type="dcterms:W3CDTF">2024-05-31T08:31:47Z</dcterms:modified>
</cp:coreProperties>
</file>